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both"/>
        <w:rPr>
          <w:rFonts w:ascii="Calibri" w:hAnsi="Calibri" w:eastAsia="Calibri" w:cs="" w:asciiTheme="minorHAnsi" w:cstheme="minorBidi" w:eastAsiaTheme="minorHAnsi" w:hAnsiTheme="minorHAnsi"/>
          <w:i/>
          <w:sz w:val="22"/>
          <w:szCs w:val="22"/>
          <w:lang w:eastAsia="en-US" w:bidi="ar-SA"/>
        </w:rPr>
      </w:pPr>
      <w:bookmarkStart w:id="0" w:name="_GoBack"/>
      <w:bookmarkEnd w:id="0"/>
      <w:r>
        <w:rPr/>
        <w:drawing>
          <wp:inline distT="0" distB="0" distL="0" distR="0">
            <wp:extent cx="6453505" cy="638175"/>
            <wp:effectExtent l="0" t="0" r="0" b="0"/>
            <wp:docPr id="1"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6"/>
                    <pic:cNvPicPr>
                      <a:picLocks noChangeAspect="1" noChangeArrowheads="1"/>
                    </pic:cNvPicPr>
                  </pic:nvPicPr>
                  <pic:blipFill>
                    <a:blip r:embed="rId2"/>
                    <a:stretch>
                      <a:fillRect/>
                    </a:stretch>
                  </pic:blipFill>
                  <pic:spPr bwMode="auto">
                    <a:xfrm>
                      <a:off x="0" y="0"/>
                      <a:ext cx="6453505" cy="638175"/>
                    </a:xfrm>
                    <a:prstGeom prst="rect">
                      <a:avLst/>
                    </a:prstGeom>
                    <a:noFill/>
                  </pic:spPr>
                </pic:pic>
              </a:graphicData>
            </a:graphic>
          </wp:inline>
        </w:drawing>
      </w:r>
    </w:p>
    <w:p>
      <w:pPr>
        <w:pStyle w:val="Normal"/>
        <w:jc w:val="end"/>
        <w:rPr>
          <w:bCs/>
        </w:rPr>
      </w:pPr>
      <w:r>
        <w:rPr>
          <w:bCs/>
        </w:rPr>
      </w:r>
    </w:p>
    <w:p>
      <w:pPr>
        <w:pStyle w:val="Normal"/>
        <w:rPr>
          <w:bCs/>
        </w:rPr>
      </w:pPr>
      <w:r>
        <w:rPr>
          <w:bCs/>
        </w:rPr>
        <w:t>Allegato D</w:t>
      </w:r>
    </w:p>
    <w:p>
      <w:pPr>
        <w:pStyle w:val="Normal"/>
        <w:jc w:val="end"/>
        <w:rPr>
          <w:bCs/>
        </w:rPr>
      </w:pPr>
      <w:r>
        <w:rPr>
          <w:bCs/>
        </w:rPr>
      </w:r>
    </w:p>
    <w:p>
      <w:pPr>
        <w:pStyle w:val="Normal"/>
        <w:jc w:val="end"/>
        <w:rPr>
          <w:bCs/>
        </w:rPr>
      </w:pPr>
      <w:r>
        <w:rPr>
          <w:bCs/>
        </w:rPr>
        <w:t>ATTI</w:t>
      </w:r>
    </w:p>
    <w:p>
      <w:pPr>
        <w:pStyle w:val="Normal"/>
        <w:suppressAutoHyphens w:val="false"/>
        <w:jc w:val="center"/>
        <w:rPr>
          <w:b/>
          <w:bCs/>
          <w:szCs w:val="24"/>
        </w:rPr>
      </w:pPr>
      <w:r>
        <w:rPr>
          <w:b/>
          <w:bCs/>
          <w:szCs w:val="24"/>
        </w:rPr>
      </w:r>
    </w:p>
    <w:p>
      <w:pPr>
        <w:pStyle w:val="BodyText"/>
        <w:ind w:start="114" w:end="-1"/>
        <w:rPr/>
      </w:pPr>
      <w:r>
        <w:rPr/>
      </w:r>
    </w:p>
    <w:p>
      <w:pPr>
        <w:pStyle w:val="Normal"/>
        <w:widowControl/>
        <w:jc w:val="both"/>
        <w:rPr>
          <w:sz w:val="22"/>
          <w:szCs w:val="22"/>
          <w:lang w:eastAsia="it-IT" w:bidi="ar-SA"/>
        </w:rPr>
      </w:pPr>
      <w:r>
        <w:rPr>
          <w:sz w:val="22"/>
          <w:szCs w:val="22"/>
          <w:lang w:eastAsia="it-IT" w:bidi="ar-SA"/>
        </w:rPr>
        <w:t>Fondi Strutturali Europei – Programma Nazionale “Scuola e competenze” 2021-2027 Priorità 01 – Scuola e competenze – Fondo Sociale Europeo Plus (FSE+) – Obiettivo Specifico ESO4.6, Azione ESO4.6.A1 – Sotto azione ESO4.6.A1.B, interventi di cui al decreto del Ministro dell’istruzione e del merito n. 175 del 9 settembre 2025, Avviso 53338 del 09/03/2026 – Agenda Sud a.s. 2025-2026 e 2026-2027</w:t>
      </w:r>
    </w:p>
    <w:p>
      <w:pPr>
        <w:pStyle w:val="Normal"/>
        <w:widowControl/>
        <w:jc w:val="both"/>
        <w:rPr>
          <w:sz w:val="22"/>
          <w:szCs w:val="22"/>
          <w:lang w:eastAsia="it-IT" w:bidi="ar-SA"/>
        </w:rPr>
      </w:pPr>
      <w:r>
        <w:rPr>
          <w:sz w:val="22"/>
          <w:szCs w:val="22"/>
          <w:lang w:eastAsia="it-IT" w:bidi="ar-SA"/>
        </w:rPr>
        <w:t>Titolo Progetto: “PIU' FORTI CHE MAI”</w:t>
      </w:r>
    </w:p>
    <w:p>
      <w:pPr>
        <w:pStyle w:val="Normal"/>
        <w:widowControl/>
        <w:jc w:val="both"/>
        <w:rPr>
          <w:sz w:val="22"/>
          <w:szCs w:val="22"/>
          <w:lang w:eastAsia="it-IT" w:bidi="ar-SA"/>
        </w:rPr>
      </w:pPr>
      <w:r>
        <w:rPr>
          <w:sz w:val="22"/>
          <w:szCs w:val="22"/>
          <w:lang w:eastAsia="it-IT" w:bidi="ar-SA"/>
        </w:rPr>
        <w:t>Codice Progetto: ESO4.6.A1.B-FSEPN-CL-2026-179</w:t>
      </w:r>
    </w:p>
    <w:p>
      <w:pPr>
        <w:pStyle w:val="Normal"/>
        <w:widowControl/>
        <w:jc w:val="both"/>
        <w:rPr>
          <w:sz w:val="22"/>
          <w:szCs w:val="22"/>
        </w:rPr>
      </w:pPr>
      <w:r>
        <w:rPr>
          <w:sz w:val="22"/>
          <w:szCs w:val="22"/>
          <w:lang w:eastAsia="it-IT" w:bidi="ar-SA"/>
        </w:rPr>
        <w:t>CUP: J84D25004140007</w:t>
      </w:r>
    </w:p>
    <w:p>
      <w:pPr>
        <w:pStyle w:val="Normal"/>
        <w:suppressAutoHyphens w:val="false"/>
        <w:jc w:val="center"/>
        <w:rPr>
          <w:b/>
          <w:bCs/>
          <w:szCs w:val="24"/>
        </w:rPr>
      </w:pPr>
      <w:r>
        <w:rPr>
          <w:b/>
          <w:bCs/>
          <w:szCs w:val="24"/>
        </w:rPr>
      </w:r>
    </w:p>
    <w:p>
      <w:pPr>
        <w:pStyle w:val="Normal"/>
        <w:tabs>
          <w:tab w:val="clear" w:pos="1134"/>
          <w:tab w:val="left" w:pos="0" w:leader="none"/>
        </w:tabs>
        <w:suppressAutoHyphens w:val="false"/>
        <w:jc w:val="end"/>
        <w:rPr>
          <w:sz w:val="20"/>
          <w:lang w:eastAsia="it-IT"/>
        </w:rPr>
      </w:pPr>
      <w:r>
        <w:rPr>
          <w:sz w:val="20"/>
          <w:lang w:eastAsia="it-IT"/>
        </w:rPr>
      </w:r>
    </w:p>
    <w:p>
      <w:pPr>
        <w:pStyle w:val="Normal"/>
        <w:tabs>
          <w:tab w:val="clear" w:pos="1134"/>
          <w:tab w:val="left" w:pos="0" w:leader="none"/>
        </w:tabs>
        <w:suppressAutoHyphens w:val="false"/>
        <w:jc w:val="center"/>
        <w:rPr>
          <w:sz w:val="22"/>
          <w:szCs w:val="22"/>
        </w:rPr>
      </w:pPr>
      <w:r>
        <w:rPr>
          <w:sz w:val="22"/>
          <w:szCs w:val="22"/>
        </w:rPr>
        <w:t>DICHIARAZIONE DI INSUSSISTENZA DI CAUSE DI INCOMPATIBILITA’,</w:t>
      </w:r>
    </w:p>
    <w:p>
      <w:pPr>
        <w:pStyle w:val="Normal"/>
        <w:tabs>
          <w:tab w:val="clear" w:pos="1134"/>
          <w:tab w:val="left" w:pos="0" w:leader="none"/>
        </w:tabs>
        <w:suppressAutoHyphens w:val="false"/>
        <w:jc w:val="center"/>
        <w:rPr>
          <w:sz w:val="22"/>
          <w:szCs w:val="22"/>
        </w:rPr>
      </w:pPr>
      <w:r>
        <w:rPr>
          <w:sz w:val="22"/>
          <w:szCs w:val="22"/>
        </w:rPr>
        <w:t>DI CONFLITTO DI INTERESSI E DI ASTENSIONE</w:t>
      </w:r>
    </w:p>
    <w:p>
      <w:pPr>
        <w:pStyle w:val="Normal"/>
        <w:tabs>
          <w:tab w:val="clear" w:pos="1134"/>
          <w:tab w:val="left" w:pos="0" w:leader="none"/>
        </w:tabs>
        <w:suppressAutoHyphens w:val="false"/>
        <w:jc w:val="center"/>
        <w:rPr>
          <w:sz w:val="22"/>
          <w:szCs w:val="22"/>
        </w:rPr>
      </w:pPr>
      <w:r>
        <w:rPr>
          <w:sz w:val="22"/>
          <w:szCs w:val="22"/>
        </w:rPr>
        <w:t>(resa nelle forme di cui agli artt. 46 e 47 del d.P.R. n. 445 del 28 dicembre 2000)</w:t>
      </w:r>
    </w:p>
    <w:p>
      <w:pPr>
        <w:pStyle w:val="Normal"/>
        <w:tabs>
          <w:tab w:val="clear" w:pos="1134"/>
          <w:tab w:val="left" w:pos="0" w:leader="none"/>
        </w:tabs>
        <w:suppressAutoHyphens w:val="false"/>
        <w:jc w:val="end"/>
        <w:rPr>
          <w:sz w:val="22"/>
          <w:szCs w:val="22"/>
        </w:rPr>
      </w:pPr>
      <w:r>
        <w:rPr>
          <w:sz w:val="22"/>
          <w:szCs w:val="22"/>
        </w:rPr>
      </w:r>
    </w:p>
    <w:p>
      <w:pPr>
        <w:pStyle w:val="Normal"/>
        <w:widowControl/>
        <w:jc w:val="both"/>
        <w:rPr>
          <w:sz w:val="22"/>
          <w:szCs w:val="22"/>
          <w:lang w:eastAsia="it-IT" w:bidi="ar-SA"/>
        </w:rPr>
      </w:pPr>
      <w:r>
        <w:rPr>
          <w:sz w:val="22"/>
          <w:szCs w:val="22"/>
        </w:rPr>
        <w:t xml:space="preserve">Il/La sottoscritto/a  _____________________________________ </w:t>
      </w:r>
      <w:r>
        <w:rPr/>
        <w:t>nato/a ____________________________    prov.______ il ____________________ cod. fiscale: ___________________________</w:t>
      </w:r>
      <w:r>
        <w:rPr>
          <w:sz w:val="22"/>
          <w:szCs w:val="22"/>
        </w:rPr>
        <w:t xml:space="preserve"> in relazione all’incarico di __________________________________, a valere dei FSE – PN “Scuola e competenze” 2021-2027.  Priorità 01 – Scuola e competenze – Fondo Sociale Europeo Plus (FSE+) – Ob. Sp. ESO4.6, Az. ESO4.6.A1 – Sotto-azione ESO4.6.A1.B</w:t>
      </w:r>
      <w:r>
        <w:rPr>
          <w:sz w:val="22"/>
          <w:szCs w:val="22"/>
          <w:lang w:eastAsia="it-IT" w:bidi="ar-SA"/>
        </w:rPr>
        <w:t>, interventi di cui al decreto del Ministro dell’istruzione e del merito n. 175 del 9 settembre 2025, Avviso 53338 del 09/03/2026 – Agenda Sud a.s. 2025-2026 e 2026-2027</w:t>
      </w:r>
    </w:p>
    <w:p>
      <w:pPr>
        <w:pStyle w:val="Normal"/>
        <w:widowControl/>
        <w:jc w:val="both"/>
        <w:rPr>
          <w:sz w:val="22"/>
          <w:szCs w:val="22"/>
          <w:lang w:eastAsia="it-IT" w:bidi="ar-SA"/>
        </w:rPr>
      </w:pPr>
      <w:r>
        <w:rPr>
          <w:sz w:val="22"/>
          <w:szCs w:val="22"/>
          <w:lang w:eastAsia="it-IT" w:bidi="ar-SA"/>
        </w:rPr>
        <w:t>Titolo Progetto: “PIU' FORTI CHE MAI”</w:t>
      </w:r>
    </w:p>
    <w:p>
      <w:pPr>
        <w:pStyle w:val="Normal"/>
        <w:widowControl/>
        <w:jc w:val="both"/>
        <w:rPr>
          <w:sz w:val="22"/>
          <w:szCs w:val="22"/>
          <w:lang w:eastAsia="it-IT" w:bidi="ar-SA"/>
        </w:rPr>
      </w:pPr>
      <w:r>
        <w:rPr>
          <w:sz w:val="22"/>
          <w:szCs w:val="22"/>
          <w:lang w:eastAsia="it-IT" w:bidi="ar-SA"/>
        </w:rPr>
        <w:t>Codice Progetto: ESO4.6.A1.B-FSEPN-CL-2026-179</w:t>
      </w:r>
    </w:p>
    <w:p>
      <w:pPr>
        <w:pStyle w:val="Normal"/>
        <w:widowControl/>
        <w:jc w:val="both"/>
        <w:rPr>
          <w:sz w:val="22"/>
          <w:szCs w:val="22"/>
        </w:rPr>
      </w:pPr>
      <w:r>
        <w:rPr>
          <w:sz w:val="22"/>
          <w:szCs w:val="22"/>
          <w:lang w:eastAsia="it-IT" w:bidi="ar-SA"/>
        </w:rPr>
        <w:t>CUP: J84D25004140007</w:t>
      </w:r>
    </w:p>
    <w:p>
      <w:pPr>
        <w:pStyle w:val="Normal"/>
        <w:widowControl/>
        <w:jc w:val="both"/>
        <w:rPr>
          <w:sz w:val="22"/>
          <w:szCs w:val="22"/>
        </w:rPr>
      </w:pPr>
      <w:r>
        <w:rPr>
          <w:sz w:val="22"/>
          <w:szCs w:val="22"/>
        </w:rPr>
      </w:r>
    </w:p>
    <w:p>
      <w:pPr>
        <w:pStyle w:val="Normal"/>
        <w:tabs>
          <w:tab w:val="clear" w:pos="1134"/>
          <w:tab w:val="left" w:pos="0" w:leader="none"/>
        </w:tabs>
        <w:suppressAutoHyphens w:val="false"/>
        <w:jc w:val="center"/>
        <w:rPr>
          <w:b/>
        </w:rPr>
      </w:pPr>
      <w:r>
        <w:rPr>
          <w:b/>
        </w:rPr>
        <w:t>CONSAPEVOLE</w:t>
      </w:r>
    </w:p>
    <w:p>
      <w:pPr>
        <w:pStyle w:val="Normal"/>
        <w:tabs>
          <w:tab w:val="clear" w:pos="1134"/>
          <w:tab w:val="left" w:pos="0" w:leader="none"/>
        </w:tabs>
        <w:suppressAutoHyphens w:val="false"/>
        <w:jc w:val="center"/>
        <w:rPr>
          <w:b/>
          <w:sz w:val="20"/>
        </w:rPr>
      </w:pPr>
      <w:r>
        <w:rPr>
          <w:b/>
          <w:sz w:val="20"/>
        </w:rPr>
      </w:r>
    </w:p>
    <w:p>
      <w:pPr>
        <w:pStyle w:val="Normal"/>
        <w:tabs>
          <w:tab w:val="clear" w:pos="1134"/>
          <w:tab w:val="left" w:pos="0" w:leader="none"/>
        </w:tabs>
        <w:suppressAutoHyphens w:val="false"/>
        <w:rPr>
          <w:sz w:val="22"/>
          <w:szCs w:val="22"/>
        </w:rPr>
      </w:pPr>
      <w:r>
        <w:rPr>
          <w:sz w:val="22"/>
          <w:szCs w:val="22"/>
        </w:rPr>
        <w:t xml:space="preserve">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 </w:t>
      </w:r>
    </w:p>
    <w:p>
      <w:pPr>
        <w:pStyle w:val="Normal"/>
        <w:tabs>
          <w:tab w:val="clear" w:pos="1134"/>
          <w:tab w:val="left" w:pos="0" w:leader="none"/>
        </w:tabs>
        <w:suppressAutoHyphens w:val="false"/>
        <w:jc w:val="end"/>
        <w:rPr>
          <w:sz w:val="20"/>
        </w:rPr>
      </w:pPr>
      <w:r>
        <w:rPr>
          <w:sz w:val="20"/>
        </w:rPr>
      </w:r>
    </w:p>
    <w:p>
      <w:pPr>
        <w:pStyle w:val="Normal"/>
        <w:tabs>
          <w:tab w:val="clear" w:pos="1134"/>
          <w:tab w:val="left" w:pos="0" w:leader="none"/>
        </w:tabs>
        <w:suppressAutoHyphens w:val="false"/>
        <w:jc w:val="center"/>
        <w:rPr>
          <w:b/>
        </w:rPr>
      </w:pPr>
      <w:r>
        <w:rPr>
          <w:b/>
        </w:rPr>
        <w:t>DICHIARA</w:t>
      </w:r>
    </w:p>
    <w:p>
      <w:pPr>
        <w:pStyle w:val="Normal"/>
        <w:tabs>
          <w:tab w:val="clear" w:pos="1134"/>
          <w:tab w:val="left" w:pos="0" w:leader="none"/>
        </w:tabs>
        <w:suppressAutoHyphens w:val="false"/>
        <w:jc w:val="center"/>
        <w:rPr>
          <w:b/>
        </w:rPr>
      </w:pPr>
      <w:r>
        <w:rPr>
          <w:b/>
        </w:rPr>
      </w:r>
    </w:p>
    <w:p>
      <w:pPr>
        <w:pStyle w:val="Normal"/>
        <w:widowControl/>
        <w:numPr>
          <w:ilvl w:val="0"/>
          <w:numId w:val="5"/>
        </w:numPr>
        <w:tabs>
          <w:tab w:val="clear" w:pos="1134"/>
          <w:tab w:val="left" w:pos="0" w:leader="none"/>
        </w:tabs>
        <w:suppressAutoHyphens w:val="false"/>
        <w:ind w:hanging="425" w:start="567"/>
        <w:rPr>
          <w:sz w:val="22"/>
          <w:szCs w:val="22"/>
        </w:rPr>
      </w:pPr>
      <w:r>
        <w:rPr>
          <w:sz w:val="22"/>
          <w:szCs w:val="22"/>
        </w:rPr>
        <w:t>di non trovarsi in nessuna delle condizioni di incompatibilità o inconferibilità ai sensi dell’art. 20,</w:t>
      </w:r>
    </w:p>
    <w:p>
      <w:pPr>
        <w:pStyle w:val="Normal"/>
        <w:tabs>
          <w:tab w:val="clear" w:pos="1134"/>
          <w:tab w:val="left" w:pos="0" w:leader="none"/>
        </w:tabs>
        <w:suppressAutoHyphens w:val="false"/>
        <w:ind w:start="360"/>
        <w:rPr>
          <w:sz w:val="22"/>
          <w:szCs w:val="22"/>
        </w:rPr>
      </w:pPr>
      <w:r>
        <w:rPr>
          <w:sz w:val="22"/>
          <w:szCs w:val="22"/>
        </w:rPr>
        <w:t xml:space="preserve">    </w:t>
      </w:r>
      <w:r>
        <w:rPr>
          <w:sz w:val="22"/>
          <w:szCs w:val="22"/>
        </w:rPr>
        <w:t xml:space="preserve">comma 2 del D. Lgs 39/2013 recante “Disposizioni in materia di inconferibilità e incompatibilità di   </w:t>
      </w:r>
    </w:p>
    <w:p>
      <w:pPr>
        <w:pStyle w:val="Normal"/>
        <w:tabs>
          <w:tab w:val="clear" w:pos="1134"/>
          <w:tab w:val="left" w:pos="0" w:leader="none"/>
        </w:tabs>
        <w:suppressAutoHyphens w:val="false"/>
        <w:ind w:start="360"/>
        <w:rPr>
          <w:sz w:val="22"/>
          <w:szCs w:val="22"/>
        </w:rPr>
      </w:pPr>
      <w:r>
        <w:rPr>
          <w:sz w:val="22"/>
          <w:szCs w:val="22"/>
        </w:rPr>
        <w:t xml:space="preserve">    </w:t>
      </w:r>
      <w:r>
        <w:rPr>
          <w:sz w:val="22"/>
          <w:szCs w:val="22"/>
        </w:rPr>
        <w:t xml:space="preserve">incarichi presso le pubbliche amministrazioni e presso gli enti privati in controllo pubblico” a norma  </w:t>
      </w:r>
    </w:p>
    <w:p>
      <w:pPr>
        <w:pStyle w:val="Normal"/>
        <w:tabs>
          <w:tab w:val="clear" w:pos="1134"/>
          <w:tab w:val="left" w:pos="0" w:leader="none"/>
        </w:tabs>
        <w:suppressAutoHyphens w:val="false"/>
        <w:ind w:start="360"/>
        <w:rPr>
          <w:sz w:val="22"/>
          <w:szCs w:val="22"/>
        </w:rPr>
      </w:pPr>
      <w:r>
        <w:rPr>
          <w:sz w:val="22"/>
          <w:szCs w:val="22"/>
        </w:rPr>
        <w:t xml:space="preserve">   </w:t>
      </w:r>
      <w:r>
        <w:rPr>
          <w:sz w:val="22"/>
          <w:szCs w:val="22"/>
        </w:rPr>
        <w:t xml:space="preserve">dell’art. 1, commi 49 e 50, della legge 190/2012; </w:t>
      </w:r>
    </w:p>
    <w:p>
      <w:pPr>
        <w:pStyle w:val="Normal"/>
        <w:tabs>
          <w:tab w:val="clear" w:pos="1134"/>
          <w:tab w:val="left" w:pos="0" w:leader="none"/>
        </w:tabs>
        <w:suppressAutoHyphens w:val="false"/>
        <w:ind w:start="360"/>
        <w:rPr>
          <w:sz w:val="22"/>
          <w:szCs w:val="22"/>
        </w:rPr>
      </w:pPr>
      <w:r>
        <w:rPr>
          <w:sz w:val="22"/>
          <w:szCs w:val="22"/>
        </w:rPr>
      </w:r>
    </w:p>
    <w:p>
      <w:pPr>
        <w:pStyle w:val="Normal"/>
        <w:widowControl/>
        <w:tabs>
          <w:tab w:val="clear" w:pos="1134"/>
          <w:tab w:val="left" w:pos="0" w:leader="none"/>
        </w:tabs>
        <w:suppressAutoHyphens w:val="false"/>
        <w:ind w:start="142"/>
        <w:rPr>
          <w:rFonts w:eastAsia="Calibri"/>
          <w:sz w:val="22"/>
          <w:szCs w:val="22"/>
          <w:lang w:eastAsia="en-US"/>
        </w:rPr>
      </w:pPr>
      <w:r>
        <w:rPr>
          <w:sz w:val="22"/>
          <w:szCs w:val="22"/>
        </w:rPr>
        <w:t>II. che non sussistono situazioni, anche potenziali, di conflitto di interesse per il conferimento</w:t>
      </w:r>
    </w:p>
    <w:p>
      <w:pPr>
        <w:pStyle w:val="Normal"/>
        <w:tabs>
          <w:tab w:val="clear" w:pos="1134"/>
          <w:tab w:val="left" w:pos="0" w:leader="none"/>
        </w:tabs>
        <w:suppressAutoHyphens w:val="false"/>
        <w:rPr>
          <w:sz w:val="22"/>
          <w:szCs w:val="22"/>
        </w:rPr>
      </w:pPr>
      <w:r>
        <w:rPr>
          <w:sz w:val="22"/>
          <w:szCs w:val="22"/>
        </w:rPr>
        <w:t xml:space="preserve"> </w:t>
      </w:r>
      <w:r>
        <w:rPr>
          <w:sz w:val="22"/>
          <w:szCs w:val="22"/>
        </w:rPr>
        <w:t>dell’incarico ai sensi dell’art. 53, comma 14 del D. Lgs. 165 del 30 marzo 2001, “Norme generali    dell’ordinamento del lavoro dipendente delle Amministrazioni Pubbliche” così come modificato dall’art. 1, comma 42 lettera H) e D), della legge n. 190 del 6 novembre 2012 “Disposizioni per la prevenzione e repressione della corruzione e dell’illegalità nella Pubblica Amministrazione”.</w:t>
      </w:r>
    </w:p>
    <w:p>
      <w:pPr>
        <w:pStyle w:val="Normal"/>
        <w:tabs>
          <w:tab w:val="clear" w:pos="1134"/>
          <w:tab w:val="left" w:pos="0" w:leader="none"/>
        </w:tabs>
        <w:suppressAutoHyphens w:val="false"/>
        <w:ind w:start="360"/>
        <w:rPr>
          <w:sz w:val="22"/>
          <w:szCs w:val="22"/>
        </w:rPr>
      </w:pPr>
      <w:r>
        <w:rPr>
          <w:sz w:val="22"/>
          <w:szCs w:val="22"/>
        </w:rPr>
      </w:r>
    </w:p>
    <w:p>
      <w:pPr>
        <w:pStyle w:val="Normal"/>
        <w:tabs>
          <w:tab w:val="clear" w:pos="1134"/>
          <w:tab w:val="left" w:pos="0" w:leader="none"/>
        </w:tabs>
        <w:suppressAutoHyphens w:val="false"/>
        <w:rPr>
          <w:sz w:val="22"/>
          <w:szCs w:val="22"/>
        </w:rPr>
      </w:pPr>
      <w:r>
        <w:rPr>
          <w:sz w:val="22"/>
          <w:szCs w:val="22"/>
        </w:rPr>
        <w:t xml:space="preserve"> </w:t>
      </w:r>
      <w:r>
        <w:rPr>
          <w:sz w:val="22"/>
          <w:szCs w:val="22"/>
        </w:rPr>
        <w:t>III. di aver preso piena cognizione del D.M. 26 aprile 2022, n. 105, recante il Codice di Comportamento dei dipendenti del Ministero dell’istruzione e del merito;</w:t>
      </w:r>
    </w:p>
    <w:p>
      <w:pPr>
        <w:pStyle w:val="Normal"/>
        <w:tabs>
          <w:tab w:val="clear" w:pos="1134"/>
          <w:tab w:val="left" w:pos="0" w:leader="none"/>
        </w:tabs>
        <w:suppressAutoHyphens w:val="false"/>
        <w:ind w:start="360"/>
        <w:rPr>
          <w:sz w:val="22"/>
          <w:szCs w:val="22"/>
        </w:rPr>
      </w:pPr>
      <w:r>
        <w:rPr>
          <w:sz w:val="22"/>
          <w:szCs w:val="22"/>
        </w:rPr>
      </w:r>
    </w:p>
    <w:p>
      <w:pPr>
        <w:pStyle w:val="Comma"/>
        <w:numPr>
          <w:ilvl w:val="0"/>
          <w:numId w:val="3"/>
        </w:numPr>
        <w:tabs>
          <w:tab w:val="clear" w:pos="1134"/>
          <w:tab w:val="left" w:pos="426" w:leader="none"/>
        </w:tabs>
        <w:spacing w:lineRule="auto" w:line="276" w:before="120" w:after="120"/>
        <w:ind w:hanging="0" w:start="0"/>
        <w:contextualSpacing/>
        <w:rPr>
          <w:rFonts w:ascii="Times New Roman" w:hAnsi="Times New Roman"/>
        </w:rPr>
      </w:pPr>
      <w:r>
        <w:rPr>
          <w:rFonts w:ascii="Times New Roman" w:hAnsi="Times New Roman"/>
        </w:rPr>
        <w:t xml:space="preserve">di impegnarsi a comunicare qualsiasi circostanza sopravvenuta di carattere ostativo rispetto </w:t>
      </w:r>
    </w:p>
    <w:p>
      <w:pPr>
        <w:pStyle w:val="Comma"/>
        <w:numPr>
          <w:ilvl w:val="0"/>
          <w:numId w:val="0"/>
        </w:numPr>
        <w:spacing w:lineRule="auto" w:line="276" w:before="120" w:after="120"/>
        <w:ind w:hanging="0" w:start="284"/>
        <w:contextualSpacing/>
        <w:rPr>
          <w:rFonts w:ascii="Times New Roman" w:hAnsi="Times New Roman"/>
        </w:rPr>
      </w:pPr>
      <w:r>
        <w:rPr>
          <w:rFonts w:ascii="Times New Roman" w:hAnsi="Times New Roman"/>
        </w:rPr>
        <w:t xml:space="preserve">   </w:t>
      </w:r>
      <w:r>
        <w:rPr>
          <w:rFonts w:ascii="Times New Roman" w:hAnsi="Times New Roman"/>
        </w:rPr>
        <w:t>all’espletamento dell’incarico;</w:t>
      </w:r>
    </w:p>
    <w:p>
      <w:pPr>
        <w:pStyle w:val="Comma"/>
        <w:numPr>
          <w:ilvl w:val="0"/>
          <w:numId w:val="0"/>
        </w:numPr>
        <w:spacing w:lineRule="auto" w:line="276" w:before="120" w:after="120"/>
        <w:ind w:hanging="0" w:start="284"/>
        <w:contextualSpacing/>
        <w:rPr>
          <w:rFonts w:ascii="Times New Roman" w:hAnsi="Times New Roman"/>
        </w:rPr>
      </w:pPr>
      <w:r>
        <w:rPr>
          <w:rFonts w:ascii="Times New Roman" w:hAnsi="Times New Roman"/>
        </w:rPr>
      </w:r>
    </w:p>
    <w:p>
      <w:pPr>
        <w:pStyle w:val="Comma"/>
        <w:numPr>
          <w:ilvl w:val="0"/>
          <w:numId w:val="0"/>
        </w:numPr>
        <w:spacing w:lineRule="auto" w:line="276" w:before="120" w:after="120"/>
        <w:ind w:hanging="284" w:start="284"/>
        <w:contextualSpacing/>
        <w:rPr>
          <w:rFonts w:ascii="Times New Roman" w:hAnsi="Times New Roman"/>
        </w:rPr>
      </w:pPr>
      <w:r>
        <w:rPr>
          <w:rFonts w:ascii="Times New Roman" w:hAnsi="Times New Roman"/>
        </w:rPr>
        <w:t>V. 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pPr>
        <w:pStyle w:val="Normal"/>
        <w:tabs>
          <w:tab w:val="clear" w:pos="1134"/>
          <w:tab w:val="left" w:pos="0" w:leader="none"/>
        </w:tabs>
        <w:suppressAutoHyphens w:val="false"/>
        <w:ind w:start="360"/>
        <w:rPr>
          <w:rFonts w:eastAsia="Calibri"/>
          <w:sz w:val="22"/>
          <w:szCs w:val="22"/>
          <w:lang w:eastAsia="en-US"/>
        </w:rPr>
      </w:pPr>
      <w:r>
        <w:rPr>
          <w:rFonts w:eastAsia="Calibri"/>
          <w:sz w:val="22"/>
          <w:szCs w:val="22"/>
          <w:lang w:eastAsia="en-US"/>
        </w:rPr>
      </w:r>
    </w:p>
    <w:p>
      <w:pPr>
        <w:pStyle w:val="Normal"/>
        <w:tabs>
          <w:tab w:val="clear" w:pos="1134"/>
          <w:tab w:val="left" w:pos="0" w:leader="none"/>
        </w:tabs>
        <w:suppressAutoHyphens w:val="false"/>
        <w:rPr>
          <w:rFonts w:eastAsia="Arial"/>
          <w:bCs/>
          <w:iCs/>
          <w:sz w:val="22"/>
          <w:szCs w:val="22"/>
          <w:lang w:eastAsia="en-US"/>
        </w:rPr>
      </w:pPr>
      <w:r>
        <w:rPr>
          <w:rFonts w:eastAsia="Arial"/>
          <w:bCs/>
          <w:iCs/>
          <w:sz w:val="22"/>
          <w:szCs w:val="22"/>
          <w:lang w:eastAsia="en-US"/>
        </w:rPr>
        <w:t xml:space="preserve">Data ____________________                                                                      </w:t>
      </w:r>
    </w:p>
    <w:p>
      <w:pPr>
        <w:pStyle w:val="Normal"/>
        <w:tabs>
          <w:tab w:val="clear" w:pos="1134"/>
          <w:tab w:val="left" w:pos="0" w:leader="none"/>
        </w:tabs>
        <w:suppressAutoHyphens w:val="false"/>
        <w:jc w:val="center"/>
        <w:rPr>
          <w:rFonts w:eastAsia="Arial"/>
          <w:bCs/>
          <w:iCs/>
          <w:sz w:val="22"/>
          <w:szCs w:val="22"/>
          <w:lang w:eastAsia="en-US"/>
        </w:rPr>
      </w:pPr>
      <w:r>
        <w:rPr>
          <w:rFonts w:eastAsia="Arial"/>
          <w:bCs/>
          <w:iCs/>
          <w:sz w:val="22"/>
          <w:szCs w:val="22"/>
          <w:lang w:eastAsia="en-US"/>
        </w:rPr>
        <w:t xml:space="preserve">                                                                      </w:t>
      </w:r>
      <w:r>
        <w:rPr>
          <w:rFonts w:eastAsia="Arial"/>
          <w:bCs/>
          <w:iCs/>
          <w:sz w:val="22"/>
          <w:szCs w:val="22"/>
          <w:lang w:eastAsia="en-US"/>
        </w:rPr>
        <w:t>In fede   ________________________</w:t>
      </w:r>
    </w:p>
    <w:p>
      <w:pPr>
        <w:pStyle w:val="Normal"/>
        <w:spacing w:lineRule="auto" w:line="254"/>
        <w:jc w:val="center"/>
        <w:rPr>
          <w:b/>
        </w:rPr>
      </w:pPr>
      <w:r>
        <w:rPr>
          <w:b/>
        </w:rPr>
      </w:r>
    </w:p>
    <w:sectPr>
      <w:headerReference w:type="even" r:id="rId3"/>
      <w:headerReference w:type="default" r:id="rId4"/>
      <w:headerReference w:type="first" r:id="rId5"/>
      <w:type w:val="nextPage"/>
      <w:pgSz w:w="11906" w:h="16838"/>
      <w:pgMar w:left="1134" w:right="707" w:gutter="0" w:header="283" w:top="1134" w:footer="0" w:bottom="1134"/>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roman"/>
    <w:pitch w:val="variable"/>
  </w:font>
  <w:font w:name="Calibri">
    <w:charset w:val="00" w:characterSet="windows-1252"/>
    <w:family w:val="swiss"/>
    <w:pitch w:val="variable"/>
  </w:font>
  <w:font w:name="Segoe UI">
    <w:charset w:val="00" w:characterSet="windows-1252"/>
    <w:family w:val="swiss"/>
    <w:pitch w:val="variable"/>
  </w:font>
  <w:font w:name="Liberation Sans">
    <w:altName w:val="Arial"/>
    <w:charset w:val="00" w:characterSet="windows-1252"/>
    <w:family w:val="swiss"/>
    <w:pitch w:val="variable"/>
  </w:font>
  <w:font w:name="Calibri">
    <w:charset w:val="00" w:characterSet="windows-1252"/>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uppressAutoHyphens w:val="false"/>
      <w:ind w:hanging="219" w:start="219"/>
      <w:rPr>
        <w:rFonts w:eastAsia="Calibri" w:cs="Calibri"/>
        <w:sz w:val="20"/>
        <w:szCs w:val="22"/>
        <w:lang w:eastAsia="en-US" w:bidi="ar-SA"/>
      </w:rPr>
    </w:pPr>
    <w:r>
      <w:rPr/>
      <w:drawing>
        <wp:inline distT="0" distB="0" distL="0" distR="0">
          <wp:extent cx="6362700" cy="466725"/>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noChangeArrowheads="1"/>
                  </pic:cNvPicPr>
                </pic:nvPicPr>
                <pic:blipFill>
                  <a:blip r:embed="rId1"/>
                  <a:stretch>
                    <a:fillRect/>
                  </a:stretch>
                </pic:blipFill>
                <pic:spPr bwMode="auto">
                  <a:xfrm>
                    <a:off x="0" y="0"/>
                    <a:ext cx="6362700" cy="466725"/>
                  </a:xfrm>
                  <a:prstGeom prst="rect">
                    <a:avLst/>
                  </a:prstGeom>
                  <a:noFill/>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284" w:hanging="284"/>
      </w:pPr>
      <w:rPr>
        <w:rFonts w:ascii="Times New Roman" w:hAnsi="Times New Roman" w:cs="Times New Roman"/>
      </w:rPr>
    </w:lvl>
    <w:lvl w:ilvl="1">
      <w:start w:val="1"/>
      <w:numFmt w:val="lowerLetter"/>
      <w:lvlText w:val="%2)"/>
      <w:lvlJc w:val="start"/>
      <w:pPr>
        <w:tabs>
          <w:tab w:val="num" w:pos="0"/>
        </w:tabs>
        <w:ind w:start="568" w:hanging="284"/>
      </w:pPr>
      <w:rPr/>
    </w:lvl>
    <w:lvl w:ilvl="2">
      <w:start w:val="1"/>
      <w:numFmt w:val="lowerRoman"/>
      <w:lvlText w:val="%3."/>
      <w:lvlJc w:val="end"/>
      <w:pPr>
        <w:tabs>
          <w:tab w:val="num" w:pos="0"/>
        </w:tabs>
        <w:ind w:start="567" w:firstLine="1"/>
      </w:pPr>
      <w:rPr/>
    </w:lvl>
    <w:lvl w:ilvl="3">
      <w:start w:val="1"/>
      <w:numFmt w:val="decimal"/>
      <w:lvlText w:val="%4."/>
      <w:lvlJc w:val="start"/>
      <w:pPr>
        <w:tabs>
          <w:tab w:val="num" w:pos="0"/>
        </w:tabs>
        <w:ind w:start="1136" w:hanging="284"/>
      </w:pPr>
      <w:rPr/>
    </w:lvl>
    <w:lvl w:ilvl="4">
      <w:start w:val="1"/>
      <w:numFmt w:val="lowerLetter"/>
      <w:lvlText w:val="%5."/>
      <w:lvlJc w:val="start"/>
      <w:pPr>
        <w:tabs>
          <w:tab w:val="num" w:pos="0"/>
        </w:tabs>
        <w:ind w:start="1420" w:hanging="284"/>
      </w:pPr>
      <w:rPr/>
    </w:lvl>
    <w:lvl w:ilvl="5">
      <w:start w:val="1"/>
      <w:numFmt w:val="lowerRoman"/>
      <w:lvlText w:val="%6."/>
      <w:lvlJc w:val="end"/>
      <w:pPr>
        <w:tabs>
          <w:tab w:val="num" w:pos="0"/>
        </w:tabs>
        <w:ind w:start="1704" w:hanging="284"/>
      </w:pPr>
      <w:rPr/>
    </w:lvl>
    <w:lvl w:ilvl="6">
      <w:start w:val="1"/>
      <w:numFmt w:val="decimal"/>
      <w:lvlText w:val="%7."/>
      <w:lvlJc w:val="start"/>
      <w:pPr>
        <w:tabs>
          <w:tab w:val="num" w:pos="0"/>
        </w:tabs>
        <w:ind w:start="284" w:hanging="284"/>
      </w:pPr>
      <w:rPr>
        <w:b w:val="false"/>
        <w:bCs w:val="false"/>
      </w:rPr>
    </w:lvl>
    <w:lvl w:ilvl="7">
      <w:start w:val="1"/>
      <w:numFmt w:val="lowerLetter"/>
      <w:lvlText w:val="%8."/>
      <w:lvlJc w:val="start"/>
      <w:pPr>
        <w:tabs>
          <w:tab w:val="num" w:pos="0"/>
        </w:tabs>
        <w:ind w:start="2272" w:hanging="284"/>
      </w:pPr>
      <w:rPr/>
    </w:lvl>
    <w:lvl w:ilvl="8">
      <w:start w:val="1"/>
      <w:numFmt w:val="lowerRoman"/>
      <w:lvlText w:val="%9."/>
      <w:lvlJc w:val="end"/>
      <w:pPr>
        <w:tabs>
          <w:tab w:val="num" w:pos="0"/>
        </w:tabs>
        <w:ind w:start="2556" w:hanging="284"/>
      </w:pPr>
      <w:rPr/>
    </w:lvl>
  </w:abstractNum>
  <w:abstractNum w:abstractNumId="2">
    <w:lvl w:ilvl="0">
      <w:start w:val="1"/>
      <w:numFmt w:val="upperRoman"/>
      <w:lvlText w:val="%1."/>
      <w:lvlJc w:val="start"/>
      <w:pPr>
        <w:tabs>
          <w:tab w:val="num" w:pos="0"/>
        </w:tabs>
        <w:ind w:start="1004" w:hanging="72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4"/>
      <w:numFmt w:val="upperRoman"/>
      <w:lvlText w:val="%1."/>
      <w:lvlJc w:val="start"/>
      <w:pPr>
        <w:tabs>
          <w:tab w:val="num" w:pos="0"/>
        </w:tabs>
        <w:ind w:start="1004" w:hanging="720"/>
      </w:pPr>
      <w:rPr/>
    </w:lvl>
    <w:lvl w:ilvl="1">
      <w:start w:val="1"/>
      <w:numFmt w:val="lowerLetter"/>
      <w:lvlText w:val="%2."/>
      <w:lvlJc w:val="start"/>
      <w:pPr>
        <w:tabs>
          <w:tab w:val="num" w:pos="0"/>
        </w:tabs>
        <w:ind w:start="1364" w:hanging="360"/>
      </w:pPr>
      <w:rPr/>
    </w:lvl>
    <w:lvl w:ilvl="2">
      <w:start w:val="1"/>
      <w:numFmt w:val="lowerRoman"/>
      <w:lvlText w:val="%3."/>
      <w:lvlJc w:val="end"/>
      <w:pPr>
        <w:tabs>
          <w:tab w:val="num" w:pos="0"/>
        </w:tabs>
        <w:ind w:start="2084" w:hanging="180"/>
      </w:pPr>
      <w:rPr/>
    </w:lvl>
    <w:lvl w:ilvl="3">
      <w:start w:val="1"/>
      <w:numFmt w:val="decimal"/>
      <w:lvlText w:val="%4."/>
      <w:lvlJc w:val="start"/>
      <w:pPr>
        <w:tabs>
          <w:tab w:val="num" w:pos="0"/>
        </w:tabs>
        <w:ind w:start="2804" w:hanging="360"/>
      </w:pPr>
      <w:rPr/>
    </w:lvl>
    <w:lvl w:ilvl="4">
      <w:start w:val="1"/>
      <w:numFmt w:val="lowerLetter"/>
      <w:lvlText w:val="%5."/>
      <w:lvlJc w:val="start"/>
      <w:pPr>
        <w:tabs>
          <w:tab w:val="num" w:pos="0"/>
        </w:tabs>
        <w:ind w:start="3524" w:hanging="360"/>
      </w:pPr>
      <w:rPr/>
    </w:lvl>
    <w:lvl w:ilvl="5">
      <w:start w:val="1"/>
      <w:numFmt w:val="lowerRoman"/>
      <w:lvlText w:val="%6."/>
      <w:lvlJc w:val="end"/>
      <w:pPr>
        <w:tabs>
          <w:tab w:val="num" w:pos="0"/>
        </w:tabs>
        <w:ind w:start="4244" w:hanging="180"/>
      </w:pPr>
      <w:rPr/>
    </w:lvl>
    <w:lvl w:ilvl="6">
      <w:start w:val="1"/>
      <w:numFmt w:val="decimal"/>
      <w:lvlText w:val="%7."/>
      <w:lvlJc w:val="start"/>
      <w:pPr>
        <w:tabs>
          <w:tab w:val="num" w:pos="0"/>
        </w:tabs>
        <w:ind w:start="4964" w:hanging="360"/>
      </w:pPr>
      <w:rPr/>
    </w:lvl>
    <w:lvl w:ilvl="7">
      <w:start w:val="1"/>
      <w:numFmt w:val="lowerLetter"/>
      <w:lvlText w:val="%8."/>
      <w:lvlJc w:val="start"/>
      <w:pPr>
        <w:tabs>
          <w:tab w:val="num" w:pos="0"/>
        </w:tabs>
        <w:ind w:start="5684" w:hanging="360"/>
      </w:pPr>
      <w:rPr/>
    </w:lvl>
    <w:lvl w:ilvl="8">
      <w:start w:val="1"/>
      <w:numFmt w:val="lowerRoman"/>
      <w:lvlText w:val="%9."/>
      <w:lvlJc w:val="end"/>
      <w:pPr>
        <w:tabs>
          <w:tab w:val="num" w:pos="0"/>
        </w:tabs>
        <w:ind w:start="6404" w:hanging="180"/>
      </w:pPr>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2"/>
    <w:lvlOverride w:ilvl="0">
      <w:startOverride w:val="1"/>
    </w:lvlOverride>
  </w:num>
</w:numbering>
</file>

<file path=word/settings.xml><?xml version="1.0" encoding="utf-8"?>
<w:settings xmlns:w="http://schemas.openxmlformats.org/wordprocessingml/2006/main">
  <w:zoom w:percent="100"/>
  <w:displayBackgroundShape/>
  <w:embedSystemFonts/>
  <w:defaultTabStop w:val="1134"/>
  <w:autoHyphenation w:val="true"/>
  <w:hyphenationZone w:val="0"/>
  <w:compat>
    <w:balanceSingleByteDoubleByteWidth/>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1141f"/>
    <w:pPr>
      <w:widowControl w:val="false"/>
      <w:suppressAutoHyphens w:val="true"/>
      <w:bidi w:val="0"/>
      <w:spacing w:before="0" w:after="0"/>
      <w:jc w:val="start"/>
    </w:pPr>
    <w:rPr>
      <w:rFonts w:ascii="Times New Roman" w:hAnsi="Times New Roman" w:eastAsia="Times New Roman" w:cs="Times New Roman"/>
      <w:color w:val="auto"/>
      <w:kern w:val="0"/>
      <w:sz w:val="24"/>
      <w:szCs w:val="20"/>
      <w:lang w:eastAsia="zh-CN" w:bidi="hi-IN" w:val="it-IT"/>
    </w:rPr>
  </w:style>
  <w:style w:type="character" w:styleId="DefaultParagraphFont" w:default="1">
    <w:name w:val="Default Paragraph Font"/>
    <w:uiPriority w:val="1"/>
    <w:semiHidden/>
    <w:unhideWhenUsed/>
    <w:qFormat/>
    <w:rPr/>
  </w:style>
  <w:style w:type="character" w:styleId="Puntiuser" w:customStyle="1">
    <w:name w:val="Punti (user)"/>
    <w:qFormat/>
    <w:rPr>
      <w:rFonts w:ascii="OpenSymbol" w:hAnsi="OpenSymbol" w:eastAsia="OpenSymbol" w:cs="OpenSymbol"/>
    </w:rPr>
  </w:style>
  <w:style w:type="character" w:styleId="Hyperlink">
    <w:name w:val="Hyperlink"/>
    <w:rPr>
      <w:color w:val="000080"/>
      <w:u w:val="single"/>
    </w:rPr>
  </w:style>
  <w:style w:type="character" w:styleId="IntestazioneCarattere" w:customStyle="1">
    <w:name w:val="Intestazione Carattere"/>
    <w:uiPriority w:val="99"/>
    <w:qFormat/>
    <w:rsid w:val="00126ff3"/>
    <w:rPr>
      <w:rFonts w:cs="Mangal"/>
      <w:sz w:val="24"/>
      <w:lang w:eastAsia="zh-CN" w:bidi="hi-IN"/>
    </w:rPr>
  </w:style>
  <w:style w:type="character" w:styleId="PidipaginaCarattere" w:customStyle="1">
    <w:name w:val="Piè di pagina Carattere"/>
    <w:uiPriority w:val="99"/>
    <w:qFormat/>
    <w:rsid w:val="00126ff3"/>
    <w:rPr>
      <w:rFonts w:cs="Mangal"/>
      <w:sz w:val="24"/>
      <w:lang w:eastAsia="zh-CN" w:bidi="hi-IN"/>
    </w:rPr>
  </w:style>
  <w:style w:type="character" w:styleId="CommaCarattere" w:customStyle="1">
    <w:name w:val="Comma Carattere"/>
    <w:link w:val="Comma"/>
    <w:qFormat/>
    <w:locked/>
    <w:rsid w:val="00484b3d"/>
    <w:rPr>
      <w:rFonts w:ascii="Calibri" w:hAnsi="Calibri" w:eastAsia="Calibri" w:cs="Calibri"/>
      <w:sz w:val="22"/>
      <w:szCs w:val="22"/>
      <w:lang w:eastAsia="en-US"/>
    </w:rPr>
  </w:style>
  <w:style w:type="character" w:styleId="TestofumettoCarattere" w:customStyle="1">
    <w:name w:val="Testo fumetto Carattere"/>
    <w:link w:val="BalloonText"/>
    <w:uiPriority w:val="99"/>
    <w:semiHidden/>
    <w:qFormat/>
    <w:rsid w:val="005911ae"/>
    <w:rPr>
      <w:rFonts w:ascii="Segoe UI" w:hAnsi="Segoe UI" w:cs="Mangal"/>
      <w:sz w:val="18"/>
      <w:szCs w:val="16"/>
      <w:lang w:eastAsia="zh-CN" w:bidi="hi-IN"/>
    </w:rPr>
  </w:style>
  <w:style w:type="character" w:styleId="CorpotestoCarattere" w:customStyle="1">
    <w:name w:val="Corpo testo Carattere"/>
    <w:uiPriority w:val="1"/>
    <w:qFormat/>
    <w:rsid w:val="009205ae"/>
    <w:rPr>
      <w:sz w:val="22"/>
      <w:szCs w:val="22"/>
      <w:lang w:eastAsia="en-US"/>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CorpotestoCarattere"/>
    <w:uiPriority w:val="1"/>
    <w:unhideWhenUsed/>
    <w:qFormat/>
    <w:rsid w:val="009205ae"/>
    <w:pPr>
      <w:suppressAutoHyphens w:val="false"/>
      <w:ind w:start="114"/>
    </w:pPr>
    <w:rPr>
      <w:sz w:val="22"/>
      <w:szCs w:val="22"/>
      <w:lang w:eastAsia="en-US" w:bidi="ar-SA"/>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Contenutotabellauser" w:customStyle="1">
    <w:name w:val="Contenuto tabella (user)"/>
    <w:basedOn w:val="Normal"/>
    <w:qFormat/>
    <w:pPr>
      <w:suppressLineNumbers/>
    </w:pPr>
    <w:rPr/>
  </w:style>
  <w:style w:type="paragraph" w:styleId="Standard" w:customStyle="1">
    <w:name w:val="Standard"/>
    <w:qFormat/>
    <w:pPr>
      <w:widowControl/>
      <w:suppressAutoHyphens w:val="true"/>
      <w:bidi w:val="0"/>
      <w:spacing w:lineRule="auto" w:line="252" w:before="0" w:after="160"/>
      <w:jc w:val="start"/>
      <w:textAlignment w:val="baseline"/>
    </w:pPr>
    <w:rPr>
      <w:rFonts w:ascii="Calibri" w:hAnsi="Calibri" w:eastAsia="SimSun" w:cs="F"/>
      <w:color w:val="auto"/>
      <w:kern w:val="2"/>
      <w:sz w:val="24"/>
      <w:szCs w:val="24"/>
      <w:lang w:eastAsia="zh-CN" w:bidi="hi-IN" w:val="it-IT"/>
    </w:rPr>
  </w:style>
  <w:style w:type="paragraph" w:styleId="Intestazioneepidipagina">
    <w:name w:val="Intestazione e piè di pagina"/>
    <w:basedOn w:val="Normal"/>
    <w:qFormat/>
    <w:pPr/>
    <w:rPr/>
  </w:style>
  <w:style w:type="paragraph" w:styleId="Header">
    <w:name w:val="header"/>
    <w:basedOn w:val="Normal"/>
    <w:link w:val="IntestazioneCarattere"/>
    <w:uiPriority w:val="99"/>
    <w:unhideWhenUsed/>
    <w:rsid w:val="00126ff3"/>
    <w:pPr>
      <w:tabs>
        <w:tab w:val="clear" w:pos="1134"/>
        <w:tab w:val="center" w:pos="4819" w:leader="none"/>
        <w:tab w:val="right" w:pos="9638" w:leader="none"/>
      </w:tabs>
    </w:pPr>
    <w:rPr>
      <w:rFonts w:cs="Mangal"/>
    </w:rPr>
  </w:style>
  <w:style w:type="paragraph" w:styleId="Footer">
    <w:name w:val="footer"/>
    <w:basedOn w:val="Normal"/>
    <w:link w:val="PidipaginaCarattere"/>
    <w:uiPriority w:val="99"/>
    <w:unhideWhenUsed/>
    <w:rsid w:val="00126ff3"/>
    <w:pPr>
      <w:tabs>
        <w:tab w:val="clear" w:pos="1134"/>
        <w:tab w:val="center" w:pos="4819" w:leader="none"/>
        <w:tab w:val="right" w:pos="9638" w:leader="none"/>
      </w:tabs>
    </w:pPr>
    <w:rPr>
      <w:rFonts w:cs="Mangal"/>
    </w:rPr>
  </w:style>
  <w:style w:type="paragraph" w:styleId="Default" w:customStyle="1">
    <w:name w:val="Default"/>
    <w:qFormat/>
    <w:rsid w:val="009612d8"/>
    <w:pPr>
      <w:widowControl/>
      <w:bidi w:val="0"/>
      <w:spacing w:before="0" w:after="0"/>
      <w:jc w:val="start"/>
    </w:pPr>
    <w:rPr>
      <w:rFonts w:eastAsia="Calibri" w:ascii="Times New Roman" w:hAnsi="Times New Roman" w:cs="Times New Roman"/>
      <w:color w:val="000000"/>
      <w:kern w:val="0"/>
      <w:sz w:val="24"/>
      <w:szCs w:val="24"/>
      <w:lang w:eastAsia="en-US" w:val="it-IT" w:bidi="ar-SA"/>
    </w:rPr>
  </w:style>
  <w:style w:type="paragraph" w:styleId="Comma" w:customStyle="1">
    <w:name w:val="Comma"/>
    <w:basedOn w:val="ListParagraph"/>
    <w:link w:val="CommaCarattere"/>
    <w:qFormat/>
    <w:rsid w:val="00484b3d"/>
    <w:pPr>
      <w:widowControl/>
      <w:numPr>
        <w:ilvl w:val="0"/>
        <w:numId w:val="1"/>
      </w:numPr>
      <w:suppressAutoHyphens w:val="false"/>
      <w:spacing w:before="0" w:after="240"/>
      <w:contextualSpacing/>
      <w:jc w:val="both"/>
    </w:pPr>
    <w:rPr>
      <w:rFonts w:ascii="Calibri" w:hAnsi="Calibri" w:eastAsia="Calibri" w:cs="Calibri"/>
      <w:sz w:val="22"/>
      <w:szCs w:val="22"/>
      <w:lang w:eastAsia="en-US" w:bidi="ar-SA"/>
    </w:rPr>
  </w:style>
  <w:style w:type="paragraph" w:styleId="ListParagraph">
    <w:name w:val="List Paragraph"/>
    <w:basedOn w:val="Normal"/>
    <w:uiPriority w:val="34"/>
    <w:qFormat/>
    <w:rsid w:val="00484b3d"/>
    <w:pPr>
      <w:ind w:start="708"/>
    </w:pPr>
    <w:rPr>
      <w:rFonts w:cs="Mangal"/>
    </w:rPr>
  </w:style>
  <w:style w:type="paragraph" w:styleId="BalloonText">
    <w:name w:val="Balloon Text"/>
    <w:basedOn w:val="Normal"/>
    <w:link w:val="TestofumettoCarattere"/>
    <w:uiPriority w:val="99"/>
    <w:semiHidden/>
    <w:unhideWhenUsed/>
    <w:qFormat/>
    <w:rsid w:val="005911ae"/>
    <w:pPr/>
    <w:rPr>
      <w:rFonts w:ascii="Segoe UI" w:hAnsi="Segoe UI" w:cs="Mangal"/>
      <w:sz w:val="18"/>
      <w:szCs w:val="16"/>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2e49f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LibreOffice/26.2.6.3$Windows_X86_64 LibreOffice_project/8221e31b3ac356a1623c672912a3d2b492f7e3d1</Application>
  <AppVersion>15.0000</AppVersion>
  <Pages>2</Pages>
  <Words>507</Words>
  <Characters>3031</Characters>
  <CharactersWithSpaces>3694</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2026-10-29T13:58:00Z</dcterms:created>
  <dc:creator>segreteria02</dc:creator>
  <dc:description/>
  <dc:language>it-IT</dc:language>
  <cp:lastModifiedBy>segreteria02</cp:lastModifiedBy>
  <cp:lastPrinted>2024-04-05T06:43:00Z</cp:lastPrinted>
  <dcterms:modified xsi:type="dcterms:W3CDTF">2026-10-29T13:58:00Z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