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suppressAutoHyphens w:val="false"/>
        <w:ind w:hanging="219" w:left="219"/>
        <w:rPr>
          <w:rFonts w:eastAsia="Calibri" w:cs="Calibri"/>
          <w:sz w:val="20"/>
          <w:szCs w:val="22"/>
          <w:lang w:eastAsia="en-US" w:bidi="ar-SA"/>
        </w:rPr>
      </w:pPr>
      <w:r>
        <w:rPr/>
        <w:drawing>
          <wp:inline distT="0" distB="0" distL="0" distR="0">
            <wp:extent cx="6362700" cy="514350"/>
            <wp:effectExtent l="0" t="0" r="0" b="0"/>
            <wp:docPr id="1" name="Immagin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3" descr=""/>
                    <pic:cNvPicPr>
                      <a:picLocks noChangeAspect="1" noChangeArrowheads="1"/>
                    </pic:cNvPicPr>
                  </pic:nvPicPr>
                  <pic:blipFill>
                    <a:blip r:embed="rId2"/>
                    <a:stretch>
                      <a:fillRect/>
                    </a:stretch>
                  </pic:blipFill>
                  <pic:spPr bwMode="auto">
                    <a:xfrm>
                      <a:off x="0" y="0"/>
                      <a:ext cx="6362700" cy="514350"/>
                    </a:xfrm>
                    <a:prstGeom prst="rect">
                      <a:avLst/>
                    </a:prstGeom>
                    <a:noFill/>
                  </pic:spPr>
                </pic:pic>
              </a:graphicData>
            </a:graphic>
          </wp:inline>
        </w:drawing>
      </w:r>
    </w:p>
    <w:p>
      <w:pPr>
        <w:pStyle w:val="Normal"/>
        <w:widowControl/>
        <w:jc w:val="both"/>
        <w:rPr>
          <w:sz w:val="20"/>
          <w:lang w:eastAsia="it-IT" w:bidi="ar-SA"/>
        </w:rPr>
      </w:pPr>
      <w:r>
        <w:rPr>
          <w:sz w:val="20"/>
          <w:lang w:eastAsia="it-IT" w:bidi="ar-SA"/>
        </w:rPr>
      </w:r>
    </w:p>
    <w:p>
      <w:pPr>
        <w:pStyle w:val="Normal"/>
        <w:tabs>
          <w:tab w:val="clear" w:pos="1134"/>
          <w:tab w:val="left" w:pos="705" w:leader="none"/>
          <w:tab w:val="left" w:pos="1643" w:leader="none"/>
          <w:tab w:val="right" w:pos="9405" w:leader="none"/>
        </w:tabs>
        <w:ind w:right="233"/>
        <w:rPr>
          <w:szCs w:val="24"/>
          <w:lang w:eastAsia="it-IT" w:bidi="ar-SA"/>
        </w:rPr>
      </w:pPr>
      <w:r>
        <w:rPr>
          <w:szCs w:val="24"/>
          <w:lang w:eastAsia="it-IT" w:bidi="ar-SA"/>
        </w:rPr>
        <w:tab/>
        <w:tab/>
        <w:tab/>
        <w:t>Allegato D</w:t>
      </w:r>
    </w:p>
    <w:p>
      <w:pPr>
        <w:pStyle w:val="Normal"/>
        <w:widowControl/>
        <w:jc w:val="both"/>
        <w:rPr>
          <w:sz w:val="22"/>
          <w:szCs w:val="22"/>
          <w:lang w:eastAsia="it-IT" w:bidi="ar-SA"/>
        </w:rPr>
      </w:pPr>
      <w:r>
        <w:rPr>
          <w:sz w:val="22"/>
          <w:szCs w:val="22"/>
          <w:lang w:eastAsia="it-IT" w:bidi="ar-SA"/>
        </w:rPr>
      </w:r>
    </w:p>
    <w:p>
      <w:pPr>
        <w:pStyle w:val="Normal"/>
        <w:widowControl/>
        <w:jc w:val="both"/>
        <w:rPr>
          <w:sz w:val="20"/>
          <w:lang w:eastAsia="it-IT" w:bidi="ar-SA"/>
        </w:rPr>
      </w:pPr>
      <w:r>
        <w:rPr>
          <w:sz w:val="20"/>
          <w:lang w:eastAsia="it-IT" w:bidi="ar-SA"/>
        </w:rPr>
        <w:t xml:space="preserve">Fondi Strutturali Europei – Programma Nazionale “Scuola e competenze” 2021-2027. Priorità 01 – Scuola e competenze– Fondo Sociale Europeo Plus (FSE+) – Obiettivo specifico ESO4.6 – sotto-azione ESO4.6.A.4.A- Interventi di cui ai decreti del Ministro dell’istruzione e del merito dell’11 aprile 2024, n. 72 e del 22 maggio 2025, n. 96 –Avviso Pubblico prot. n. 81652 del 23/05/2025 – “Percorsi educativi e formativi per il potenziamento delle competenze, l’inclusione e la socialità nel periodo di sospensione estiva delle lezioni” (c.d. Piano Estate). </w:t>
      </w:r>
    </w:p>
    <w:p>
      <w:pPr>
        <w:pStyle w:val="Normal"/>
        <w:widowControl/>
        <w:jc w:val="both"/>
        <w:rPr>
          <w:sz w:val="20"/>
          <w:lang w:eastAsia="it-IT" w:bidi="ar-SA"/>
        </w:rPr>
      </w:pPr>
      <w:r>
        <w:rPr>
          <w:sz w:val="20"/>
          <w:lang w:eastAsia="it-IT" w:bidi="ar-SA"/>
        </w:rPr>
        <w:t xml:space="preserve">Titolo Progetto: PIANO ESTATE BIS </w:t>
      </w:r>
    </w:p>
    <w:p>
      <w:pPr>
        <w:pStyle w:val="Normal"/>
        <w:widowControl/>
        <w:jc w:val="both"/>
        <w:rPr>
          <w:sz w:val="20"/>
          <w:lang w:eastAsia="it-IT" w:bidi="ar-SA"/>
        </w:rPr>
      </w:pPr>
      <w:r>
        <w:rPr>
          <w:sz w:val="20"/>
          <w:lang w:eastAsia="it-IT" w:bidi="ar-SA"/>
        </w:rPr>
        <w:t xml:space="preserve">Codice: ESO4.6.A4.A-FSEPN-CL-2025-333 </w:t>
      </w:r>
    </w:p>
    <w:p>
      <w:pPr>
        <w:pStyle w:val="Normal"/>
        <w:widowControl/>
        <w:jc w:val="both"/>
        <w:rPr>
          <w:sz w:val="20"/>
          <w:lang w:eastAsia="it-IT" w:bidi="ar-SA"/>
        </w:rPr>
      </w:pPr>
      <w:r>
        <w:rPr>
          <w:sz w:val="20"/>
          <w:lang w:eastAsia="it-IT" w:bidi="ar-SA"/>
        </w:rPr>
        <w:t>C.U.P.: J54D25005680007</w:t>
      </w:r>
    </w:p>
    <w:p>
      <w:pPr>
        <w:pStyle w:val="Normal"/>
        <w:tabs>
          <w:tab w:val="clear" w:pos="1134"/>
          <w:tab w:val="left" w:pos="705" w:leader="none"/>
          <w:tab w:val="left" w:pos="1643" w:leader="none"/>
          <w:tab w:val="right" w:pos="9405" w:leader="none"/>
        </w:tabs>
        <w:ind w:right="233"/>
        <w:jc w:val="right"/>
        <w:rPr>
          <w:sz w:val="20"/>
          <w:lang w:eastAsia="it-IT" w:bidi="ar-SA"/>
        </w:rPr>
      </w:pPr>
      <w:r>
        <w:rPr>
          <w:sz w:val="20"/>
          <w:lang w:eastAsia="it-IT" w:bidi="ar-SA"/>
        </w:rPr>
      </w:r>
    </w:p>
    <w:p>
      <w:pPr>
        <w:pStyle w:val="Normal"/>
        <w:tabs>
          <w:tab w:val="clear" w:pos="1134"/>
          <w:tab w:val="left" w:pos="705" w:leader="none"/>
          <w:tab w:val="left" w:pos="1643" w:leader="none"/>
          <w:tab w:val="left" w:pos="6521" w:leader="none"/>
          <w:tab w:val="right" w:pos="9405" w:leader="none"/>
          <w:tab w:val="left" w:pos="9781" w:leader="none"/>
        </w:tabs>
        <w:spacing w:before="0" w:after="200"/>
        <w:ind w:right="233"/>
        <w:rPr>
          <w:sz w:val="20"/>
        </w:rPr>
      </w:pPr>
      <w:r>
        <w:rPr>
          <w:sz w:val="20"/>
        </w:rPr>
        <w:t>DICHIARAZIONE DI INSUSSISTENZA DI INCOMPATIBILITÀ O CAUSE OSTATIVE</w:t>
      </w:r>
    </w:p>
    <w:p>
      <w:pPr>
        <w:pStyle w:val="Normal"/>
        <w:tabs>
          <w:tab w:val="clear" w:pos="1134"/>
          <w:tab w:val="left" w:pos="705" w:leader="none"/>
          <w:tab w:val="left" w:pos="1643" w:leader="none"/>
          <w:tab w:val="left" w:pos="6521" w:leader="none"/>
          <w:tab w:val="right" w:pos="9405" w:leader="none"/>
          <w:tab w:val="left" w:pos="9781" w:leader="none"/>
        </w:tabs>
        <w:spacing w:before="0" w:after="200"/>
        <w:ind w:right="233"/>
        <w:rPr>
          <w:sz w:val="20"/>
        </w:rPr>
      </w:pPr>
      <w:r>
        <w:rPr>
          <w:sz w:val="20"/>
        </w:rPr>
        <w:t xml:space="preserve">Il sottoscritto/a ___________________________________ nato/a ____________________________    prov.______ il ____________________ cod. fiscale: ___________________________ e residente in ___________________________ prov._______________ via________________________________ N°_______, </w:t>
      </w:r>
    </w:p>
    <w:p>
      <w:pPr>
        <w:pStyle w:val="Normal"/>
        <w:tabs>
          <w:tab w:val="clear" w:pos="1134"/>
          <w:tab w:val="left" w:pos="705" w:leader="none"/>
          <w:tab w:val="left" w:pos="1643" w:leader="none"/>
          <w:tab w:val="right" w:pos="9405" w:leader="none"/>
        </w:tabs>
        <w:spacing w:before="0" w:after="200"/>
        <w:ind w:right="233"/>
        <w:jc w:val="center"/>
        <w:rPr>
          <w:sz w:val="20"/>
        </w:rPr>
      </w:pPr>
      <w:r>
        <w:rPr>
          <w:sz w:val="20"/>
        </w:rPr>
        <w:t xml:space="preserve">DICHIARA </w:t>
      </w:r>
    </w:p>
    <w:p>
      <w:pPr>
        <w:pStyle w:val="Normal"/>
        <w:tabs>
          <w:tab w:val="clear" w:pos="1134"/>
          <w:tab w:val="left" w:pos="705" w:leader="none"/>
          <w:tab w:val="left" w:pos="1643" w:leader="none"/>
          <w:tab w:val="right" w:pos="9405" w:leader="none"/>
        </w:tabs>
        <w:spacing w:before="0" w:after="200"/>
        <w:ind w:right="233"/>
        <w:rPr>
          <w:sz w:val="20"/>
        </w:rPr>
      </w:pPr>
      <w:r>
        <w:rPr>
          <w:sz w:val="20"/>
        </w:rPr>
        <w:t>ai sensi dell’art. 75 del D.P.R. n° 445 del 28 dicembre 2000 consapevole degli artt. 46 e 47 del D.P.R.</w:t>
      </w:r>
    </w:p>
    <w:p>
      <w:pPr>
        <w:pStyle w:val="Normal"/>
        <w:tabs>
          <w:tab w:val="clear" w:pos="1134"/>
          <w:tab w:val="left" w:pos="705" w:leader="none"/>
          <w:tab w:val="left" w:pos="1643" w:leader="none"/>
          <w:tab w:val="right" w:pos="9405" w:leader="none"/>
        </w:tabs>
        <w:spacing w:before="0" w:after="200"/>
        <w:ind w:right="233"/>
        <w:rPr>
          <w:sz w:val="20"/>
        </w:rPr>
      </w:pPr>
      <w:r>
        <w:rPr>
          <w:sz w:val="20"/>
        </w:rPr>
        <w:t xml:space="preserve">n° 445 del 28 dicembre 2000: </w:t>
      </w:r>
    </w:p>
    <w:p>
      <w:pPr>
        <w:pStyle w:val="Normal"/>
        <w:rPr>
          <w:sz w:val="20"/>
          <w:lang w:eastAsia="it-IT" w:bidi="ar-SA"/>
        </w:rPr>
      </w:pPr>
      <w:r>
        <w:rPr>
          <w:sz w:val="20"/>
        </w:rPr>
        <w:t>a) Di non trovarsi in situazione di incompatibilità, ai sensi di quanto previsto dal d.lgs. n. 39/2013 e dall’art. 53, del d.lgs. n. 165/2001;</w:t>
      </w:r>
    </w:p>
    <w:p>
      <w:pPr>
        <w:pStyle w:val="Normal"/>
        <w:rPr>
          <w:sz w:val="20"/>
        </w:rPr>
      </w:pPr>
      <w:r>
        <w:rPr>
          <w:sz w:val="20"/>
        </w:rPr>
      </w:r>
    </w:p>
    <w:p>
      <w:pPr>
        <w:pStyle w:val="Normal"/>
        <w:rPr>
          <w:b/>
          <w:sz w:val="20"/>
        </w:rPr>
      </w:pPr>
      <w:r>
        <w:rPr>
          <w:sz w:val="20"/>
        </w:rPr>
        <w:t>b) Di non avere, direttamente o indirettamente, un interesse finanziario, economico o altro interesse personale nel procedimento in esame, né di trovarsi in altra condizione di conflitto di interessi (neppure potenziale). In particolare, che l’assunzione dell’incarico di Tutor d’aula:</w:t>
      </w:r>
      <w:r>
        <w:rPr>
          <w:b/>
          <w:sz w:val="20"/>
        </w:rPr>
        <w:t xml:space="preserve">  </w:t>
      </w:r>
    </w:p>
    <w:p>
      <w:pPr>
        <w:pStyle w:val="Normal"/>
        <w:widowControl/>
        <w:numPr>
          <w:ilvl w:val="0"/>
          <w:numId w:val="1"/>
        </w:numPr>
        <w:suppressAutoHyphens w:val="false"/>
        <w:spacing w:before="120" w:after="120"/>
        <w:contextualSpacing/>
        <w:jc w:val="both"/>
        <w:rPr>
          <w:sz w:val="20"/>
        </w:rPr>
      </w:pPr>
      <w:r>
        <w:rPr>
          <w:sz w:val="20"/>
        </w:rPr>
        <w:t>non coinvolge interessi propri;</w:t>
      </w:r>
    </w:p>
    <w:p>
      <w:pPr>
        <w:pStyle w:val="Normal"/>
        <w:widowControl/>
        <w:numPr>
          <w:ilvl w:val="0"/>
          <w:numId w:val="1"/>
        </w:numPr>
        <w:suppressAutoHyphens w:val="false"/>
        <w:spacing w:before="120" w:after="120"/>
        <w:contextualSpacing/>
        <w:jc w:val="both"/>
        <w:rPr>
          <w:sz w:val="20"/>
        </w:rPr>
      </w:pPr>
      <w:r>
        <w:rPr>
          <w:sz w:val="20"/>
        </w:rPr>
        <w:t>non coinvolge interessi di parenti, affini entro il secondo grado, del coniuge o di conviventi, oppure di persone con le quali abbia rapporti di frequentazione abituale;</w:t>
      </w:r>
    </w:p>
    <w:p>
      <w:pPr>
        <w:pStyle w:val="Normal"/>
        <w:widowControl/>
        <w:numPr>
          <w:ilvl w:val="0"/>
          <w:numId w:val="1"/>
        </w:numPr>
        <w:suppressAutoHyphens w:val="false"/>
        <w:spacing w:before="120" w:after="120"/>
        <w:contextualSpacing/>
        <w:jc w:val="both"/>
        <w:rPr>
          <w:sz w:val="20"/>
        </w:rPr>
      </w:pPr>
      <w:r>
        <w:rPr>
          <w:sz w:val="20"/>
        </w:rPr>
        <w:t>non coinvolge interessi di soggetti od organizzazioni con cui egli o il coniuge abbia causa pendente o grave inimicizia o rapporti di credito o debito significativi;</w:t>
      </w:r>
    </w:p>
    <w:p>
      <w:pPr>
        <w:pStyle w:val="Normal"/>
        <w:widowControl/>
        <w:numPr>
          <w:ilvl w:val="0"/>
          <w:numId w:val="1"/>
        </w:numPr>
        <w:suppressAutoHyphens w:val="false"/>
        <w:spacing w:before="120" w:after="120"/>
        <w:contextualSpacing/>
        <w:jc w:val="both"/>
        <w:rPr>
          <w:sz w:val="20"/>
        </w:rPr>
      </w:pPr>
      <w:r>
        <w:rPr>
          <w:sz w:val="20"/>
        </w:rPr>
        <w:t>non coinvolge interessi di soggetti od organizzazioni di cui sia tutore, curatore, procuratore o agente, titolare effettivo, ovvero di enti, associazioni anche non riconosciute, comitati, società o stabilimenti di cui sia amministratore o gerente o dirigente;</w:t>
      </w:r>
    </w:p>
    <w:p>
      <w:pPr>
        <w:pStyle w:val="Normal"/>
        <w:tabs>
          <w:tab w:val="clear" w:pos="1134"/>
          <w:tab w:val="left" w:pos="705" w:leader="none"/>
          <w:tab w:val="left" w:pos="1643" w:leader="none"/>
          <w:tab w:val="right" w:pos="9405" w:leader="none"/>
        </w:tabs>
        <w:spacing w:before="0" w:after="200"/>
        <w:ind w:right="233"/>
        <w:rPr>
          <w:sz w:val="20"/>
        </w:rPr>
      </w:pPr>
      <w:r>
        <w:rPr>
          <w:sz w:val="20"/>
        </w:rPr>
      </w:r>
    </w:p>
    <w:p>
      <w:pPr>
        <w:pStyle w:val="Normal"/>
        <w:tabs>
          <w:tab w:val="clear" w:pos="1134"/>
          <w:tab w:val="left" w:pos="705" w:leader="none"/>
          <w:tab w:val="left" w:pos="1643" w:leader="none"/>
          <w:tab w:val="right" w:pos="9405" w:leader="none"/>
        </w:tabs>
        <w:spacing w:before="0" w:after="200"/>
        <w:ind w:right="233"/>
        <w:rPr>
          <w:sz w:val="20"/>
        </w:rPr>
      </w:pPr>
      <w:r>
        <w:rPr>
          <w:sz w:val="20"/>
        </w:rPr>
        <w:t xml:space="preserve">c) che non sussistono diverse ragioni di opportunità che si frappongano al conferimento dell’incarico in questione; </w:t>
      </w:r>
    </w:p>
    <w:p>
      <w:pPr>
        <w:pStyle w:val="Normal"/>
        <w:tabs>
          <w:tab w:val="clear" w:pos="1134"/>
          <w:tab w:val="left" w:pos="705" w:leader="none"/>
          <w:tab w:val="left" w:pos="1643" w:leader="none"/>
          <w:tab w:val="right" w:pos="9405" w:leader="none"/>
          <w:tab w:val="left" w:pos="9781" w:leader="none"/>
        </w:tabs>
        <w:spacing w:before="0" w:after="200"/>
        <w:ind w:right="233"/>
        <w:rPr>
          <w:sz w:val="20"/>
        </w:rPr>
      </w:pPr>
      <w:r>
        <w:rPr>
          <w:sz w:val="20"/>
        </w:rPr>
        <w:t xml:space="preserve">d) di aver preso piena cognizione del D.M. 26 aprile 2022, n° 105, recante il Codice di comportamento dei dipendenti del Ministero dell’Istruzione e del Merito; </w:t>
      </w:r>
    </w:p>
    <w:p>
      <w:pPr>
        <w:pStyle w:val="Normal"/>
        <w:tabs>
          <w:tab w:val="clear" w:pos="1134"/>
          <w:tab w:val="left" w:pos="705" w:leader="none"/>
          <w:tab w:val="left" w:pos="1643" w:leader="none"/>
          <w:tab w:val="right" w:pos="9405" w:leader="none"/>
        </w:tabs>
        <w:spacing w:before="0" w:after="200"/>
        <w:ind w:right="233"/>
        <w:rPr>
          <w:sz w:val="20"/>
        </w:rPr>
      </w:pPr>
      <w:r>
        <w:rPr>
          <w:sz w:val="20"/>
        </w:rPr>
        <w:t xml:space="preserve">e) di impegnarsi a comunicare tempestivamente all’Istituzione Scolastica eventuali variazioni che dovessero intervenire nel corso dello svolgimento dell’incarico; </w:t>
      </w:r>
    </w:p>
    <w:p>
      <w:pPr>
        <w:pStyle w:val="Normal"/>
        <w:tabs>
          <w:tab w:val="clear" w:pos="1134"/>
          <w:tab w:val="left" w:pos="705" w:leader="none"/>
          <w:tab w:val="left" w:pos="1643" w:leader="none"/>
          <w:tab w:val="right" w:pos="9405" w:leader="none"/>
        </w:tabs>
        <w:spacing w:before="0" w:after="200"/>
        <w:ind w:right="233"/>
        <w:rPr>
          <w:sz w:val="20"/>
        </w:rPr>
      </w:pPr>
      <w:r>
        <w:rPr>
          <w:sz w:val="20"/>
        </w:rPr>
        <w:t xml:space="preserve">f) di impegnarsi altresì a comunicare all’Istituzione Scolastica qualsiasi altra circostanza sopravvenuta di carattere ostativo rispetto all’espletamento dell’incarico; </w:t>
      </w:r>
    </w:p>
    <w:p>
      <w:pPr>
        <w:pStyle w:val="Normal"/>
        <w:tabs>
          <w:tab w:val="clear" w:pos="1134"/>
          <w:tab w:val="left" w:pos="705" w:leader="none"/>
          <w:tab w:val="left" w:pos="1643" w:leader="none"/>
          <w:tab w:val="right" w:pos="9405" w:leader="none"/>
        </w:tabs>
        <w:spacing w:before="0" w:after="200"/>
        <w:ind w:right="233"/>
        <w:rPr>
          <w:sz w:val="20"/>
        </w:rPr>
      </w:pPr>
      <w:r>
        <w:rPr>
          <w:sz w:val="20"/>
        </w:rPr>
        <w:t>g) di essere stato informato, ai sensi dell’art. 13 del Regolamento (UE) 2016/679 del Parlamento europeo e del Consiglio del 27 aprile 2016 e del D. Lgs 30 giugno 2003 n° 196, circa il trattamento dei dati personali raccolti e, in particolare, che tali dati saranno trattati anche con strumenti informatici, esclusivamente per le finalità per le quali le presenti dichiarazioni vengono rese e fornisce il relativo consenso;</w:t>
      </w:r>
    </w:p>
    <w:p>
      <w:pPr>
        <w:pStyle w:val="Normal"/>
        <w:tabs>
          <w:tab w:val="clear" w:pos="1134"/>
          <w:tab w:val="left" w:pos="705" w:leader="none"/>
          <w:tab w:val="left" w:pos="1643" w:leader="none"/>
          <w:tab w:val="right" w:pos="9405" w:leader="none"/>
        </w:tabs>
        <w:spacing w:before="0" w:after="200"/>
        <w:ind w:right="233"/>
        <w:jc w:val="center"/>
        <w:rPr>
          <w:sz w:val="20"/>
        </w:rPr>
      </w:pPr>
      <w:r>
        <w:rPr>
          <w:sz w:val="20"/>
        </w:rPr>
      </w:r>
    </w:p>
    <w:p>
      <w:pPr>
        <w:pStyle w:val="Normal"/>
        <w:tabs>
          <w:tab w:val="clear" w:pos="1134"/>
          <w:tab w:val="left" w:pos="705" w:leader="none"/>
          <w:tab w:val="left" w:pos="1643" w:leader="none"/>
          <w:tab w:val="right" w:pos="9405" w:leader="none"/>
        </w:tabs>
        <w:spacing w:before="0" w:after="200"/>
        <w:ind w:right="233"/>
        <w:rPr>
          <w:sz w:val="20"/>
          <w:lang w:eastAsia="it-IT" w:bidi="ar-SA"/>
        </w:rPr>
      </w:pPr>
      <w:r>
        <w:rPr>
          <w:sz w:val="20"/>
        </w:rPr>
        <w:t xml:space="preserve">Data,________________________                       Firma _________________________________ </w:t>
      </w:r>
      <w:bookmarkStart w:id="0" w:name="_GoBack"/>
      <w:bookmarkEnd w:id="0"/>
    </w:p>
    <w:p>
      <w:pPr>
        <w:pStyle w:val="Normal"/>
        <w:tabs>
          <w:tab w:val="clear" w:pos="1134"/>
          <w:tab w:val="left" w:pos="705" w:leader="none"/>
          <w:tab w:val="left" w:pos="1643" w:leader="none"/>
          <w:tab w:val="right" w:pos="9405" w:leader="none"/>
        </w:tabs>
        <w:spacing w:before="0" w:after="200"/>
        <w:ind w:right="233"/>
        <w:rPr>
          <w:sz w:val="22"/>
          <w:szCs w:val="22"/>
          <w:lang w:eastAsia="it-IT" w:bidi="ar-SA"/>
        </w:rPr>
      </w:pPr>
      <w:r>
        <w:rPr>
          <w:sz w:val="22"/>
          <w:szCs w:val="22"/>
          <w:lang w:eastAsia="it-IT" w:bidi="ar-SA"/>
        </w:rPr>
      </w:r>
    </w:p>
    <w:p>
      <w:pPr>
        <w:pStyle w:val="Normal"/>
        <w:tabs>
          <w:tab w:val="clear" w:pos="1134"/>
          <w:tab w:val="left" w:pos="705" w:leader="none"/>
          <w:tab w:val="left" w:pos="1643" w:leader="none"/>
          <w:tab w:val="right" w:pos="9405" w:leader="none"/>
        </w:tabs>
        <w:spacing w:before="0" w:after="200"/>
        <w:ind w:right="233"/>
        <w:rPr>
          <w:sz w:val="22"/>
          <w:szCs w:val="22"/>
          <w:lang w:eastAsia="it-IT" w:bidi="ar-SA"/>
        </w:rPr>
      </w:pPr>
      <w:r>
        <w:rPr>
          <w:sz w:val="22"/>
          <w:szCs w:val="22"/>
          <w:lang w:eastAsia="it-IT" w:bidi="ar-SA"/>
        </w:rPr>
      </w:r>
    </w:p>
    <w:p>
      <w:pPr>
        <w:pStyle w:val="Normal"/>
        <w:tabs>
          <w:tab w:val="clear" w:pos="1134"/>
          <w:tab w:val="left" w:pos="705" w:leader="none"/>
          <w:tab w:val="left" w:pos="1643" w:leader="none"/>
          <w:tab w:val="right" w:pos="9405" w:leader="none"/>
        </w:tabs>
        <w:spacing w:before="0" w:after="200"/>
        <w:ind w:right="233"/>
        <w:rPr>
          <w:sz w:val="22"/>
          <w:szCs w:val="22"/>
          <w:lang w:eastAsia="it-IT" w:bidi="ar-SA"/>
        </w:rPr>
      </w:pPr>
      <w:r>
        <w:rPr>
          <w:sz w:val="22"/>
          <w:szCs w:val="22"/>
          <w:lang w:eastAsia="it-IT" w:bidi="ar-SA"/>
        </w:rPr>
      </w:r>
    </w:p>
    <w:sectPr>
      <w:headerReference w:type="even" r:id="rId3"/>
      <w:headerReference w:type="default" r:id="rId4"/>
      <w:headerReference w:type="first" r:id="rId5"/>
      <w:type w:val="nextPage"/>
      <w:pgSz w:w="11906" w:h="16838"/>
      <w:pgMar w:left="1134" w:right="566" w:gutter="0" w:header="283" w:top="1134" w:footer="0" w:bottom="1134"/>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Calibri">
    <w:charset w:val="00"/>
    <w:family w:val="swiss"/>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uppressAutoHyphens w:val="false"/>
      <w:ind w:hanging="219" w:left="219"/>
      <w:rPr>
        <w:rFonts w:eastAsia="Calibri" w:cs="Calibri"/>
        <w:sz w:val="20"/>
        <w:szCs w:val="22"/>
        <w:lang w:eastAsia="en-US" w:bidi="ar-SA"/>
      </w:rPr>
    </w:pPr>
    <w:r>
      <w:rPr/>
      <w:drawing>
        <wp:inline distT="0" distB="0" distL="0" distR="0">
          <wp:extent cx="6362700" cy="514350"/>
          <wp:effectExtent l="0" t="0" r="0" b="0"/>
          <wp:docPr id="2" name="Immagin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4" descr=""/>
                  <pic:cNvPicPr>
                    <a:picLocks noChangeAspect="1" noChangeArrowheads="1"/>
                  </pic:cNvPicPr>
                </pic:nvPicPr>
                <pic:blipFill>
                  <a:blip r:embed="rId1"/>
                  <a:stretch>
                    <a:fillRect/>
                  </a:stretch>
                </pic:blipFill>
                <pic:spPr bwMode="auto">
                  <a:xfrm>
                    <a:off x="0" y="0"/>
                    <a:ext cx="6362700" cy="514350"/>
                  </a:xfrm>
                  <a:prstGeom prst="rect">
                    <a:avLst/>
                  </a:prstGeom>
                  <a:noFill/>
                </pic:spPr>
              </pic:pic>
            </a:graphicData>
          </a:graphic>
        </wp:inline>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7"/>
      <w:numFmt w:val="bullet"/>
      <w:lvlText w:val="-"/>
      <w:lvlJc w:val="left"/>
      <w:pPr>
        <w:tabs>
          <w:tab w:val="num" w:pos="0"/>
        </w:tabs>
        <w:ind w:left="420" w:hanging="360"/>
      </w:pPr>
      <w:rPr>
        <w:rFonts w:ascii="Times New Roman" w:hAnsi="Times New Roman" w:cs="Times New Roman" w:hint="default"/>
      </w:rPr>
    </w:lvl>
    <w:lvl w:ilvl="1">
      <w:start w:val="1"/>
      <w:numFmt w:val="bullet"/>
      <w:lvlText w:val="o"/>
      <w:lvlJc w:val="left"/>
      <w:pPr>
        <w:tabs>
          <w:tab w:val="num" w:pos="0"/>
        </w:tabs>
        <w:ind w:left="1140" w:hanging="360"/>
      </w:pPr>
      <w:rPr>
        <w:rFonts w:ascii="Courier New" w:hAnsi="Courier New" w:cs="Courier New" w:hint="default"/>
      </w:rPr>
    </w:lvl>
    <w:lvl w:ilvl="2">
      <w:start w:val="1"/>
      <w:numFmt w:val="bullet"/>
      <w:lvlText w:val=""/>
      <w:lvlJc w:val="left"/>
      <w:pPr>
        <w:tabs>
          <w:tab w:val="num" w:pos="0"/>
        </w:tabs>
        <w:ind w:left="1860" w:hanging="360"/>
      </w:pPr>
      <w:rPr>
        <w:rFonts w:ascii="Wingdings" w:hAnsi="Wingdings" w:cs="Wingdings" w:hint="default"/>
      </w:rPr>
    </w:lvl>
    <w:lvl w:ilvl="3">
      <w:start w:val="1"/>
      <w:numFmt w:val="bullet"/>
      <w:lvlText w:val=""/>
      <w:lvlJc w:val="left"/>
      <w:pPr>
        <w:tabs>
          <w:tab w:val="num" w:pos="0"/>
        </w:tabs>
        <w:ind w:left="2580" w:hanging="360"/>
      </w:pPr>
      <w:rPr>
        <w:rFonts w:ascii="Symbol" w:hAnsi="Symbol" w:cs="Symbol" w:hint="default"/>
      </w:rPr>
    </w:lvl>
    <w:lvl w:ilvl="4">
      <w:start w:val="1"/>
      <w:numFmt w:val="bullet"/>
      <w:lvlText w:val="o"/>
      <w:lvlJc w:val="left"/>
      <w:pPr>
        <w:tabs>
          <w:tab w:val="num" w:pos="0"/>
        </w:tabs>
        <w:ind w:left="3300" w:hanging="360"/>
      </w:pPr>
      <w:rPr>
        <w:rFonts w:ascii="Courier New" w:hAnsi="Courier New" w:cs="Courier New" w:hint="default"/>
      </w:rPr>
    </w:lvl>
    <w:lvl w:ilvl="5">
      <w:start w:val="1"/>
      <w:numFmt w:val="bullet"/>
      <w:lvlText w:val=""/>
      <w:lvlJc w:val="left"/>
      <w:pPr>
        <w:tabs>
          <w:tab w:val="num" w:pos="0"/>
        </w:tabs>
        <w:ind w:left="4020" w:hanging="360"/>
      </w:pPr>
      <w:rPr>
        <w:rFonts w:ascii="Wingdings" w:hAnsi="Wingdings" w:cs="Wingdings" w:hint="default"/>
      </w:rPr>
    </w:lvl>
    <w:lvl w:ilvl="6">
      <w:start w:val="1"/>
      <w:numFmt w:val="bullet"/>
      <w:lvlText w:val=""/>
      <w:lvlJc w:val="left"/>
      <w:pPr>
        <w:tabs>
          <w:tab w:val="num" w:pos="0"/>
        </w:tabs>
        <w:ind w:left="4740" w:hanging="360"/>
      </w:pPr>
      <w:rPr>
        <w:rFonts w:ascii="Symbol" w:hAnsi="Symbol" w:cs="Symbol" w:hint="default"/>
      </w:rPr>
    </w:lvl>
    <w:lvl w:ilvl="7">
      <w:start w:val="1"/>
      <w:numFmt w:val="bullet"/>
      <w:lvlText w:val="o"/>
      <w:lvlJc w:val="left"/>
      <w:pPr>
        <w:tabs>
          <w:tab w:val="num" w:pos="0"/>
        </w:tabs>
        <w:ind w:left="5460" w:hanging="360"/>
      </w:pPr>
      <w:rPr>
        <w:rFonts w:ascii="Courier New" w:hAnsi="Courier New" w:cs="Courier New" w:hint="default"/>
      </w:rPr>
    </w:lvl>
    <w:lvl w:ilvl="8">
      <w:start w:val="1"/>
      <w:numFmt w:val="bullet"/>
      <w:lvlText w:val=""/>
      <w:lvlJc w:val="left"/>
      <w:pPr>
        <w:tabs>
          <w:tab w:val="num" w:pos="0"/>
        </w:tabs>
        <w:ind w:left="61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embedSystemFonts/>
  <w:defaultTabStop w:val="1134"/>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suppressAutoHyphens w:val="true"/>
      <w:bidi w:val="0"/>
      <w:spacing w:before="0" w:after="0"/>
      <w:jc w:val="left"/>
    </w:pPr>
    <w:rPr>
      <w:rFonts w:ascii="Times New Roman" w:hAnsi="Times New Roman" w:eastAsia="Times New Roman" w:cs="Times New Roman"/>
      <w:color w:val="auto"/>
      <w:kern w:val="0"/>
      <w:sz w:val="24"/>
      <w:szCs w:val="20"/>
      <w:lang w:eastAsia="zh-CN" w:bidi="hi-IN" w:val="it-IT"/>
    </w:rPr>
  </w:style>
  <w:style w:type="character" w:styleId="DefaultParagraphFont" w:default="1">
    <w:name w:val="Default Paragraph Font"/>
    <w:uiPriority w:val="1"/>
    <w:semiHidden/>
    <w:unhideWhenUsed/>
    <w:qFormat/>
    <w:rPr/>
  </w:style>
  <w:style w:type="character" w:styleId="Puntiuser" w:customStyle="1">
    <w:name w:val="Punti (user)"/>
    <w:qFormat/>
    <w:rPr>
      <w:rFonts w:ascii="OpenSymbol" w:hAnsi="OpenSymbol" w:eastAsia="OpenSymbol" w:cs="OpenSymbol"/>
    </w:rPr>
  </w:style>
  <w:style w:type="character" w:styleId="Hyperlink">
    <w:name w:val="Hyperlink"/>
    <w:rPr>
      <w:color w:val="000080"/>
      <w:u w:val="single"/>
    </w:rPr>
  </w:style>
  <w:style w:type="character" w:styleId="IntestazioneCarattere" w:customStyle="1">
    <w:name w:val="Intestazione Carattere"/>
    <w:uiPriority w:val="99"/>
    <w:qFormat/>
    <w:rsid w:val="00126ff3"/>
    <w:rPr>
      <w:rFonts w:cs="Mangal"/>
      <w:sz w:val="24"/>
      <w:lang w:eastAsia="zh-CN" w:bidi="hi-IN"/>
    </w:rPr>
  </w:style>
  <w:style w:type="character" w:styleId="PidipaginaCarattere" w:customStyle="1">
    <w:name w:val="Piè di pagina Carattere"/>
    <w:uiPriority w:val="99"/>
    <w:qFormat/>
    <w:rsid w:val="00126ff3"/>
    <w:rPr>
      <w:rFonts w:cs="Mangal"/>
      <w:sz w:val="24"/>
      <w:lang w:eastAsia="zh-CN" w:bidi="hi-IN"/>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Contenutotabellauser" w:customStyle="1">
    <w:name w:val="Contenuto tabella (user)"/>
    <w:basedOn w:val="Normal"/>
    <w:qFormat/>
    <w:pPr>
      <w:suppressLineNumbers/>
    </w:pPr>
    <w:rPr/>
  </w:style>
  <w:style w:type="paragraph" w:styleId="Standard" w:customStyle="1">
    <w:name w:val="Standard"/>
    <w:qFormat/>
    <w:pPr>
      <w:widowControl/>
      <w:suppressAutoHyphens w:val="true"/>
      <w:bidi w:val="0"/>
      <w:spacing w:lineRule="auto" w:line="252" w:before="0" w:after="160"/>
      <w:jc w:val="left"/>
      <w:textAlignment w:val="baseline"/>
    </w:pPr>
    <w:rPr>
      <w:rFonts w:ascii="Calibri" w:hAnsi="Calibri" w:eastAsia="SimSun" w:cs="F"/>
      <w:color w:val="auto"/>
      <w:kern w:val="2"/>
      <w:sz w:val="24"/>
      <w:szCs w:val="24"/>
      <w:lang w:eastAsia="zh-CN" w:bidi="hi-IN" w:val="it-IT"/>
    </w:rPr>
  </w:style>
  <w:style w:type="paragraph" w:styleId="Intestazioneepidipagina">
    <w:name w:val="Intestazione e piè di pagina"/>
    <w:basedOn w:val="Normal"/>
    <w:qFormat/>
    <w:pPr/>
    <w:rPr/>
  </w:style>
  <w:style w:type="paragraph" w:styleId="Header">
    <w:name w:val="header"/>
    <w:basedOn w:val="Normal"/>
    <w:link w:val="IntestazioneCarattere"/>
    <w:uiPriority w:val="99"/>
    <w:unhideWhenUsed/>
    <w:rsid w:val="00126ff3"/>
    <w:pPr>
      <w:tabs>
        <w:tab w:val="clear" w:pos="1134"/>
        <w:tab w:val="center" w:pos="4819" w:leader="none"/>
        <w:tab w:val="right" w:pos="9638" w:leader="none"/>
      </w:tabs>
    </w:pPr>
    <w:rPr>
      <w:rFonts w:cs="Mangal"/>
    </w:rPr>
  </w:style>
  <w:style w:type="paragraph" w:styleId="Footer">
    <w:name w:val="footer"/>
    <w:basedOn w:val="Normal"/>
    <w:link w:val="PidipaginaCarattere"/>
    <w:uiPriority w:val="99"/>
    <w:unhideWhenUsed/>
    <w:rsid w:val="00126ff3"/>
    <w:pPr>
      <w:tabs>
        <w:tab w:val="clear" w:pos="1134"/>
        <w:tab w:val="center" w:pos="4819" w:leader="none"/>
        <w:tab w:val="right" w:pos="9638" w:leader="none"/>
      </w:tabs>
    </w:pPr>
    <w:rPr>
      <w:rFonts w:cs="Mangal"/>
    </w:rPr>
  </w:style>
  <w:style w:type="paragraph" w:styleId="Default" w:customStyle="1">
    <w:name w:val="Default"/>
    <w:qFormat/>
    <w:rsid w:val="009612d8"/>
    <w:pPr>
      <w:widowControl/>
      <w:bidi w:val="0"/>
      <w:spacing w:before="0" w:after="0"/>
      <w:jc w:val="left"/>
    </w:pPr>
    <w:rPr>
      <w:rFonts w:eastAsia="Calibri" w:ascii="Times New Roman" w:hAnsi="Times New Roman" w:cs="Times New Roman"/>
      <w:color w:val="000000"/>
      <w:kern w:val="0"/>
      <w:sz w:val="24"/>
      <w:szCs w:val="24"/>
      <w:lang w:eastAsia="en-US" w:val="it-IT" w:bidi="ar-SA"/>
    </w:rPr>
  </w:style>
  <w:style w:type="paragraph" w:styleId="NormalWeb">
    <w:name w:val="Normal (Web)"/>
    <w:basedOn w:val="Normal"/>
    <w:uiPriority w:val="99"/>
    <w:semiHidden/>
    <w:unhideWhenUsed/>
    <w:qFormat/>
    <w:rsid w:val="00b73e40"/>
    <w:pPr>
      <w:widowControl/>
      <w:suppressAutoHyphens w:val="false"/>
      <w:spacing w:beforeAutospacing="1" w:afterAutospacing="1"/>
    </w:pPr>
    <w:rPr>
      <w:szCs w:val="24"/>
      <w:lang w:eastAsia="it-IT" w:bidi="ar-SA"/>
    </w:rPr>
  </w:style>
  <w:style w:type="paragraph" w:styleId="NoSpacing">
    <w:name w:val="No Spacing"/>
    <w:uiPriority w:val="1"/>
    <w:qFormat/>
    <w:rsid w:val="005a3d30"/>
    <w:pPr>
      <w:widowControl w:val="false"/>
      <w:suppressAutoHyphens w:val="true"/>
      <w:bidi w:val="0"/>
      <w:spacing w:before="0" w:after="0"/>
      <w:jc w:val="left"/>
    </w:pPr>
    <w:rPr>
      <w:rFonts w:cs="Mangal" w:ascii="Times New Roman" w:hAnsi="Times New Roman" w:eastAsia="Times New Roman"/>
      <w:color w:val="auto"/>
      <w:kern w:val="0"/>
      <w:sz w:val="24"/>
      <w:szCs w:val="20"/>
      <w:lang w:eastAsia="zh-CN" w:bidi="hi-IN" w:val="it-IT"/>
    </w:rPr>
  </w:style>
  <w:style w:type="paragraph" w:styleId="ListParagraph">
    <w:name w:val="List Paragraph"/>
    <w:basedOn w:val="Normal"/>
    <w:uiPriority w:val="34"/>
    <w:qFormat/>
    <w:rsid w:val="00ec72cb"/>
    <w:pPr>
      <w:widowControl/>
      <w:suppressAutoHyphens w:val="false"/>
      <w:ind w:left="708"/>
    </w:pPr>
    <w:rPr>
      <w:szCs w:val="24"/>
      <w:lang w:eastAsia="it-IT" w:bidi="ar-SA"/>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39"/>
    <w:rsid w:val="002e49f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9</TotalTime>
  <Application>LibreOffice/25.2.7.2$Windows_X86_64 LibreOffice_project/5cbfd1ab6520636bb5f7b99185aa69bd7456825d</Application>
  <AppVersion>15.0000</AppVersion>
  <Pages>2</Pages>
  <Words>449</Words>
  <Characters>2861</Characters>
  <CharactersWithSpaces>3330</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2025-12-26T09:31:00Z</dcterms:created>
  <dc:creator>segreteria02</dc:creator>
  <dc:description/>
  <dc:language>it-IT</dc:language>
  <cp:lastModifiedBy>segreteria02</cp:lastModifiedBy>
  <cp:lastPrinted>1899-12-31T23:00:00Z</cp:lastPrinted>
  <dcterms:modified xsi:type="dcterms:W3CDTF">2026-02-26T16:19:00Z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